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rPr>
          <w:rFonts w:ascii="Calibri" w:hAnsi="Calibri"/>
        </w:rPr>
        <w:t xml:space="preserve">Cold-Call Flow Cheat Sheet</w:t>
      </w:r>
    </w:p>
    <w:p>
      <w:pPr>
        <w:spacing w:after="100"/>
      </w:pPr>
      <w:r>
        <w:rPr>
          <w:rFonts w:ascii="Calibri" w:hAnsi="Calibri"/>
          <w:b/>
          <w:sz w:val="18"/>
          <w:szCs w:val="18"/>
          <w:color w:val="6B7280"/>
        </w:rPr>
        <w:t xml:space="preserve">CHEAT SHEET | SKILL: OPENING | DIFFICULTY: BEGINNER | EST. 5 MIN</w:t>
      </w:r>
    </w:p>
    <w:p>
      <w:pPr>
        <w:spacing w:before="40" w:after="160"/>
        <w:shd w:val="clear" w:color="auto" w:fill="EAF7EF"/>
        <w:ind w:left="160"/>
      </w:pPr>
      <w:r>
        <w:rPr>
          <w:rFonts w:ascii="Calibri" w:hAnsi="Calibri"/>
          <w:b/>
          <w:sz w:val="18"/>
          <w:szCs w:val="18"/>
          <w:color w:val="166534"/>
        </w:rPr>
        <w:t xml:space="preserve">Reviewed professional resource - AmplifyHub Practical Resource Library</w:t>
      </w:r>
    </w:p>
    <w:p>
      <w:pPr>
        <w:pStyle w:val="Heading1"/>
        <w:keepNext/>
      </w:pPr>
      <w:r>
        <w:rPr>
          <w:rFonts w:ascii="Calibri" w:hAnsi="Calibri"/>
        </w:rPr>
        <w:t xml:space="preserve">Overview</w:t>
      </w:r>
    </w:p>
    <w:p>
      <w:pPr>
        <w:spacing w:after="12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A one-glance map of a cold call from hello to next step, so you always know which stage you are in and what the goal of that stage is.</w:t>
      </w:r>
    </w:p>
    <w:p>
      <w:pPr>
        <w:pStyle w:val="Heading1"/>
        <w:keepNext/>
      </w:pPr>
      <w:r>
        <w:rPr>
          <w:rFonts w:ascii="Calibri" w:hAnsi="Calibri"/>
        </w:rPr>
        <w:t xml:space="preserve">Learning objectives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Recognise the five stages of a cold call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Know the single goal of each stage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Keep moving without rushing the prospect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Exit gracefully at any stage</w:t>
      </w:r>
    </w:p>
    <w:p>
      <w:pPr>
        <w:pStyle w:val="Heading1"/>
        <w:keepNext/>
      </w:pPr>
      <w:r>
        <w:rPr>
          <w:rFonts w:ascii="Calibri" w:hAnsi="Calibri"/>
        </w:rPr>
        <w:t xml:space="preserve">The flow</w:t>
      </w:r>
    </w:p>
    <w:tbl>
      <w:tblPr>
        <w:tblW w:w="9360" w:type="dxa"/>
        <w:tblInd w:w="12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</w:tblPr>
      <w:tblGrid>
        <w:gridCol w:w="1517"/>
        <w:gridCol w:w="3162"/>
        <w:gridCol w:w="4681"/>
      </w:tblGrid>
      <w:tr>
        <w:trPr>
          <w:tblHeader/>
        </w:trPr>
        <w:tc>
          <w:tcPr>
            <w:tcW w:w="1517" w:type="dxa"/>
            <w:vAlign w:val="center"/>
            <w:shd w:val="clear" w:color="auto" w:fill="FFF3C4"/>
          </w:tcPr>
          <w:p>
            <w:pPr>
              <w:spacing w:after="40" w:line="280" w:lineRule="auto"/>
            </w:pPr>
            <w:r>
              <w:rPr>
                <w:rFonts w:ascii="Calibri" w:hAnsi="Calibri"/>
                <w:b/>
                <w:sz w:val="19"/>
                <w:szCs w:val="19"/>
                <w:color w:val="6B4F00"/>
              </w:rPr>
              <w:t xml:space="preserve">Stage</w:t>
            </w:r>
          </w:p>
        </w:tc>
        <w:tc>
          <w:tcPr>
            <w:tcW w:w="3162" w:type="dxa"/>
            <w:vAlign w:val="center"/>
            <w:shd w:val="clear" w:color="auto" w:fill="FFF3C4"/>
          </w:tcPr>
          <w:p>
            <w:pPr>
              <w:spacing w:after="40" w:line="280" w:lineRule="auto"/>
            </w:pPr>
            <w:r>
              <w:rPr>
                <w:rFonts w:ascii="Calibri" w:hAnsi="Calibri"/>
                <w:b/>
                <w:sz w:val="19"/>
                <w:szCs w:val="19"/>
                <w:color w:val="6B4F00"/>
              </w:rPr>
              <w:t xml:space="preserve">Goal</w:t>
            </w:r>
          </w:p>
        </w:tc>
        <w:tc>
          <w:tcPr>
            <w:tcW w:w="4681" w:type="dxa"/>
            <w:vAlign w:val="center"/>
            <w:shd w:val="clear" w:color="auto" w:fill="FFF3C4"/>
          </w:tcPr>
          <w:p>
            <w:pPr>
              <w:spacing w:after="40" w:line="280" w:lineRule="auto"/>
            </w:pPr>
            <w:r>
              <w:rPr>
                <w:rFonts w:ascii="Calibri" w:hAnsi="Calibri"/>
                <w:b/>
                <w:sz w:val="19"/>
                <w:szCs w:val="19"/>
                <w:color w:val="6B4F00"/>
              </w:rPr>
              <w:t xml:space="preserve">One prompt</w:t>
            </w:r>
          </w:p>
        </w:tc>
      </w:tr>
      <w:tr>
        <w:tc>
          <w:tcPr>
            <w:tcW w:w="1517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Open</w:t>
            </w:r>
          </w:p>
        </w:tc>
        <w:tc>
          <w:tcPr>
            <w:tcW w:w="3162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Earn a few seconds</w:t>
            </w:r>
          </w:p>
        </w:tc>
        <w:tc>
          <w:tcPr>
            <w:tcW w:w="4681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Identity + permission + reason</w:t>
            </w:r>
          </w:p>
        </w:tc>
      </w:tr>
      <w:tr>
        <w:tc>
          <w:tcPr>
            <w:tcW w:w="1517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Relevance</w:t>
            </w:r>
          </w:p>
        </w:tc>
        <w:tc>
          <w:tcPr>
            <w:tcW w:w="3162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Connect to a real problem</w:t>
            </w:r>
          </w:p>
        </w:tc>
        <w:tc>
          <w:tcPr>
            <w:tcW w:w="4681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"A lot of teams like yours run into…"</w:t>
            </w:r>
          </w:p>
        </w:tc>
      </w:tr>
      <w:tr>
        <w:tc>
          <w:tcPr>
            <w:tcW w:w="1517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Question</w:t>
            </w:r>
          </w:p>
        </w:tc>
        <w:tc>
          <w:tcPr>
            <w:tcW w:w="3162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Learn if it applies</w:t>
            </w:r>
          </w:p>
        </w:tc>
        <w:tc>
          <w:tcPr>
            <w:tcW w:w="4681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"Is that something you deal with?"</w:t>
            </w:r>
          </w:p>
        </w:tc>
      </w:tr>
      <w:tr>
        <w:tc>
          <w:tcPr>
            <w:tcW w:w="1517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Next step</w:t>
            </w:r>
          </w:p>
        </w:tc>
        <w:tc>
          <w:tcPr>
            <w:tcW w:w="3162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Propose something small</w:t>
            </w:r>
          </w:p>
        </w:tc>
        <w:tc>
          <w:tcPr>
            <w:tcW w:w="4681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"Worth 20 minutes to look at?"</w:t>
            </w:r>
          </w:p>
        </w:tc>
      </w:tr>
      <w:tr>
        <w:tc>
          <w:tcPr>
            <w:tcW w:w="1517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Close out</w:t>
            </w:r>
          </w:p>
        </w:tc>
        <w:tc>
          <w:tcPr>
            <w:tcW w:w="3162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Leave a good impression</w:t>
            </w:r>
          </w:p>
        </w:tc>
        <w:tc>
          <w:tcPr>
            <w:tcW w:w="4681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Thank them, confirm or step back</w:t>
            </w:r>
          </w:p>
        </w:tc>
      </w:tr>
    </w:tbl>
    <w:p>
      <w:pPr>
        <w:spacing w:after="80"/>
      </w:pPr>
      <w:r>
        <w:rPr>
          <w:rFonts w:ascii="Calibri" w:hAnsi="Calibri"/>
        </w:rPr>
        <w:t xml:space="preserve"/>
      </w:r>
    </w:p>
    <w:p>
      <w:pPr>
        <w:pStyle w:val="Heading1"/>
        <w:keepNext/>
      </w:pPr>
      <w:r>
        <w:rPr>
          <w:rFonts w:ascii="Calibri" w:hAnsi="Calibri"/>
        </w:rPr>
        <w:t xml:space="preserve">Reminders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One goal per stage — do not try to close in the opener.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A question beats a monologue at every stage.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A firm no ends the flow; thank them and move on.</w:t>
      </w:r>
    </w:p>
    <w:p>
      <w:pPr>
        <w:pStyle w:val="Heading1"/>
        <w:keepNext/>
      </w:pPr>
      <w:r>
        <w:rPr>
          <w:rFonts w:ascii="Calibri" w:hAnsi="Calibri"/>
        </w:rPr>
        <w:t xml:space="preserve">Professional standard</w:t>
      </w:r>
    </w:p>
    <w:p>
      <w:pPr>
        <w:spacing w:after="12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A professional opening removes uncertainty quickly: the listener knows who is calling, why the call may be relevant, and that they can decline. The purpose is not to force attention; it is to earn enough trust for one useful question.</w:t>
      </w:r>
    </w:p>
    <w:p>
      <w:pPr>
        <w:pStyle w:val="Heading1"/>
        <w:keepNext/>
      </w:pPr>
      <w:r>
        <w:rPr>
          <w:rFonts w:ascii="Calibri" w:hAnsi="Calibri"/>
        </w:rPr>
        <w:t xml:space="preserve">Professional workflow</w:t>
      </w:r>
    </w:p>
    <w:p>
      <w:pPr>
        <w:numPr>
          <w:ilvl w:val="0"/>
          <w:numId w:val="2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Read the full guide once, then highlight only the two or three prompts that match the situation you are practising today.</w:t>
      </w:r>
    </w:p>
    <w:p>
      <w:pPr>
        <w:numPr>
          <w:ilvl w:val="0"/>
          <w:numId w:val="2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Keep the cheat sheet visible as a reminder, not as a script. Look away from it while speaking so your attention stays on the conversation.</w:t>
      </w:r>
    </w:p>
    <w:p>
      <w:pPr>
        <w:numPr>
          <w:ilvl w:val="0"/>
          <w:numId w:val="2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Rehearse the decision points, especially where the other person can redirect, disagree, or end the interaction.</w:t>
      </w:r>
    </w:p>
    <w:p>
      <w:pPr>
        <w:numPr>
          <w:ilvl w:val="0"/>
          <w:numId w:val="2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Mark the guidance you actually used and write one short note about what happened. Real observations are more useful than trying to memorise every line.</w:t>
      </w:r>
    </w:p>
    <w:p>
      <w:pPr>
        <w:numPr>
          <w:ilvl w:val="0"/>
          <w:numId w:val="2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Retire prompts that feel unnatural or do not fit your market. A smaller personalised reference is more professional than a crowded universal one.</w:t>
      </w:r>
    </w:p>
    <w:p>
      <w:pPr>
        <w:pStyle w:val="Heading1"/>
        <w:keepNext/>
      </w:pPr>
      <w:r>
        <w:rPr>
          <w:rFonts w:ascii="Calibri" w:hAnsi="Calibri"/>
        </w:rPr>
        <w:t xml:space="preserve">Quality-control review</w:t>
      </w:r>
    </w:p>
    <w:tbl>
      <w:tblPr>
        <w:tblW w:w="9360" w:type="dxa"/>
        <w:tblInd w:w="12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</w:tblPr>
      <w:tblGrid>
        <w:gridCol w:w="1200"/>
        <w:gridCol w:w="4118"/>
        <w:gridCol w:w="4042"/>
      </w:tblGrid>
      <w:tr>
        <w:trPr>
          <w:tblHeader/>
        </w:trPr>
        <w:tc>
          <w:tcPr>
            <w:tcW w:w="1200" w:type="dxa"/>
            <w:vAlign w:val="center"/>
            <w:shd w:val="clear" w:color="auto" w:fill="FFF3C4"/>
          </w:tcPr>
          <w:p>
            <w:pPr>
              <w:spacing w:after="40" w:line="280" w:lineRule="auto"/>
            </w:pPr>
            <w:r>
              <w:rPr>
                <w:rFonts w:ascii="Calibri" w:hAnsi="Calibri"/>
                <w:b/>
                <w:sz w:val="19"/>
                <w:szCs w:val="19"/>
                <w:color w:val="6B4F00"/>
              </w:rPr>
              <w:t xml:space="preserve">Review point</w:t>
            </w:r>
          </w:p>
        </w:tc>
        <w:tc>
          <w:tcPr>
            <w:tcW w:w="4118" w:type="dxa"/>
            <w:vAlign w:val="center"/>
            <w:shd w:val="clear" w:color="auto" w:fill="FFF3C4"/>
          </w:tcPr>
          <w:p>
            <w:pPr>
              <w:spacing w:after="40" w:line="280" w:lineRule="auto"/>
            </w:pPr>
            <w:r>
              <w:rPr>
                <w:rFonts w:ascii="Calibri" w:hAnsi="Calibri"/>
                <w:b/>
                <w:sz w:val="19"/>
                <w:szCs w:val="19"/>
                <w:color w:val="6B4F00"/>
              </w:rPr>
              <w:t xml:space="preserve">Professional standard</w:t>
            </w:r>
          </w:p>
        </w:tc>
        <w:tc>
          <w:tcPr>
            <w:tcW w:w="4042" w:type="dxa"/>
            <w:vAlign w:val="center"/>
            <w:shd w:val="clear" w:color="auto" w:fill="FFF3C4"/>
          </w:tcPr>
          <w:p>
            <w:pPr>
              <w:spacing w:after="40" w:line="280" w:lineRule="auto"/>
            </w:pPr>
            <w:r>
              <w:rPr>
                <w:rFonts w:ascii="Calibri" w:hAnsi="Calibri"/>
                <w:b/>
                <w:sz w:val="19"/>
                <w:szCs w:val="19"/>
                <w:color w:val="6B4F00"/>
              </w:rPr>
              <w:t xml:space="preserve">Warning sign</w:t>
            </w:r>
          </w:p>
        </w:tc>
      </w:tr>
      <w:tr>
        <w:tc>
          <w:tcPr>
            <w:tcW w:w="1200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Clarity</w:t>
            </w:r>
          </w:p>
        </w:tc>
        <w:tc>
          <w:tcPr>
            <w:tcW w:w="4118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Identity and purpose are understandable on the first listen.</w:t>
            </w:r>
          </w:p>
        </w:tc>
        <w:tc>
          <w:tcPr>
            <w:tcW w:w="4042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The listener must ask who you are or why you called.</w:t>
            </w:r>
          </w:p>
        </w:tc>
      </w:tr>
      <w:tr>
        <w:tc>
          <w:tcPr>
            <w:tcW w:w="1200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Relevance</w:t>
            </w:r>
          </w:p>
        </w:tc>
        <w:tc>
          <w:tcPr>
            <w:tcW w:w="4118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The reason is tied to a verified business signal or role-level problem.</w:t>
            </w:r>
          </w:p>
        </w:tc>
        <w:tc>
          <w:tcPr>
            <w:tcW w:w="4042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The opener relies on a generic claim that could apply to anyone.</w:t>
            </w:r>
          </w:p>
        </w:tc>
      </w:tr>
      <w:tr>
        <w:tc>
          <w:tcPr>
            <w:tcW w:w="1200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Brevity</w:t>
            </w:r>
          </w:p>
        </w:tc>
        <w:tc>
          <w:tcPr>
            <w:tcW w:w="4118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The opening reaches a genuine question in roughly 20-35 seconds.</w:t>
            </w:r>
          </w:p>
        </w:tc>
        <w:tc>
          <w:tcPr>
            <w:tcW w:w="4042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A product explanation begins before the listener has responded.</w:t>
            </w:r>
          </w:p>
        </w:tc>
      </w:tr>
      <w:tr>
        <w:tc>
          <w:tcPr>
            <w:tcW w:w="1200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Control</w:t>
            </w:r>
          </w:p>
        </w:tc>
        <w:tc>
          <w:tcPr>
            <w:tcW w:w="4118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The listener has an honest, easy way to continue or end the call.</w:t>
            </w:r>
          </w:p>
        </w:tc>
        <w:tc>
          <w:tcPr>
            <w:tcW w:w="4042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Permission language is used but a no is ignored.</w:t>
            </w:r>
          </w:p>
        </w:tc>
      </w:tr>
    </w:tbl>
    <w:p>
      <w:pPr>
        <w:spacing w:after="80"/>
      </w:pPr>
      <w:r>
        <w:rPr>
          <w:rFonts w:ascii="Calibri" w:hAnsi="Calibri"/>
        </w:rPr>
        <w:t xml:space="preserve"/>
      </w:r>
    </w:p>
    <w:p>
      <w:pPr>
        <w:pStyle w:val="Heading1"/>
        <w:keepNext/>
      </w:pPr>
      <w:r>
        <w:rPr>
          <w:rFonts w:ascii="Calibri" w:hAnsi="Calibri"/>
        </w:rPr>
        <w:t xml:space="preserve">Evidence and improvement signals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Track how often the listener understands the reason for the call without asking for clarification.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Review whether the first response is a real answer, a request for context, a timing objection, or a firm no.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Listen for rushed delivery, filler words, and sentences that are too long to say naturally.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Improve the relevance line before changing tone or adding more words.</w:t>
      </w:r>
    </w:p>
    <w:p>
      <w:pPr>
        <w:pStyle w:val="Heading1"/>
        <w:keepNext/>
      </w:pPr>
      <w:r>
        <w:rPr>
          <w:rFonts w:ascii="Calibri" w:hAnsi="Calibri"/>
        </w:rPr>
        <w:t xml:space="preserve">Worked example</w:t>
      </w:r>
    </w:p>
    <w:p>
      <w:pPr>
        <w:spacing w:after="12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Open: "Hi Jordan, Sam with Northlight — can I borrow 30 seconds?" Relevance: "Teams your size tell me weekend coverage slips." Question: "Does that happen to you?" Next step: "Worth 20 minutes to see how two others fixed it?" Close out: "Thanks either way."</w:t>
      </w:r>
    </w:p>
    <w:p>
      <w:pPr>
        <w:pStyle w:val="Heading1"/>
        <w:keepNext/>
      </w:pPr>
      <w:r>
        <w:rPr>
          <w:rFonts w:ascii="Calibri" w:hAnsi="Calibri"/>
        </w:rPr>
        <w:t xml:space="preserve">Safe-practice note</w:t>
      </w:r>
    </w:p>
    <w:p>
      <w:pPr>
        <w:spacing w:after="12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This is a map, not a script to force. Let the prospect skip or end stages. Do not fabricate the relevance line — only claim patterns you can honestly stand behind.</w:t>
      </w:r>
    </w:p>
    <w:p>
      <w:pPr>
        <w:spacing w:before="240" w:after="40"/>
      </w:pPr>
      <w:r>
        <w:rPr>
          <w:rFonts w:ascii="Calibri" w:hAnsi="Calibri"/>
          <w:sz w:val="17"/>
          <w:szCs w:val="17"/>
          <w:color w:val="7B8494"/>
        </w:rPr>
        <w:t xml:space="preserve">Last reviewed: 2026-07-28 | AmplifyHub Practical Resource Library</w:t>
      </w:r>
    </w:p>
    <w:sectPr>
      <w:headerReference w:type="default" r:id="rId3"/>
      <w:footerReference w:type="default" r:id="rId4"/>
      <w:pgSz w:w="12240" w:h="15840"/>
      <w:pgMar w:top="1440" w:right="1440" w:bottom="1440" w:left="1440" w:header="708" w:footer="708" w:gutter="0"/>
    </w:sectPr>
  </w:body>
</w:document>
</file>

<file path=word/footer1.xml><?xml version="1.0" encoding="utf-8"?>
<w:ftr xmlns:w="http://schemas.openxmlformats.org/wordprocessingml/2006/main">
  <w:p>
    <w:pPr>
      <w:jc w:val="right"/>
    </w:pPr>
    <w:r>
      <w:rPr>
        <w:color w:val="7B8494"/>
        <w:sz w:val="16"/>
      </w:rPr>
      <w:t>AmplifyHub  |  Page </w:t>
    </w:r>
    <w:fldSimple w:instr="PAGE">
      <w:r>
        <w:rPr>
          <w:color w:val="7B8494"/>
          <w:sz w:val="16"/>
        </w:rPr>
        <w:t>1</w:t>
      </w:r>
    </w:fldSimple>
  </w:p>
</w:ftr>
</file>

<file path=word/header1.xml><?xml version="1.0" encoding="utf-8"?>
<w:hdr xmlns:w="http://schemas.openxmlformats.org/wordprocessingml/2006/main">
  <w:p>
    <w:pPr>
      <w:spacing w:after="40"/>
    </w:pPr>
    <w:r>
      <w:rPr>
        <w:rFonts w:ascii="Calibri" w:hAnsi="Calibri"/>
        <w:b/>
        <w:sz w:val="16"/>
        <w:szCs w:val="16"/>
        <w:color w:val="8A6200"/>
      </w:rPr>
      <w:t xml:space="preserve">AMPLIFYHUB  |  PRACTICAL RESOURCE LIBRARY</w:t>
    </w:r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300" w:lineRule="auto"/>
      </w:pPr>
    </w:pPrDefault>
  </w:docDefaults>
  <w:style w:type="paragraph" w:default="1" w:styleId="Normal">
    <w:name w:val="Normal"/>
    <w:pPr>
      <w:spacing w:after="120" w:line="300" w:lineRule="auto"/>
    </w:pPr>
    <w:rPr>
      <w:rFonts w:ascii="Calibri" w:hAnsi="Calibri"/>
      <w:sz w:val="22"/>
      <w:color w:val="283548"/>
    </w:rPr>
  </w:style>
  <w:style w:type="paragraph" w:styleId="Title">
    <w:name w:val="Title"/>
    <w:pPr>
      <w:keepNext/>
      <w:spacing w:after="120"/>
    </w:pPr>
    <w:rPr>
      <w:rFonts w:ascii="Calibri" w:hAnsi="Calibri"/>
      <w:b/>
      <w:sz w:val="56"/>
      <w:color w:val="172033"/>
    </w:rPr>
  </w:style>
  <w:style w:type="paragraph" w:styleId="Heading1">
    <w:name w:val="Heading 1"/>
    <w:pPr>
      <w:keepNext/>
      <w:spacing w:before="280" w:after="140"/>
    </w:pPr>
    <w:rPr>
      <w:rFonts w:ascii="Calibri" w:hAnsi="Calibri"/>
      <w:b/>
      <w:sz w:val="30"/>
      <w:color w:val="8A6200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eader" Target="header1.xml"/><Relationship Id="rId4" Type="http://schemas.openxmlformats.org/officeDocument/2006/relationships/footer" Target="footer1.xml"/></Relationships>
</file>