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rPr>
          <w:rFonts w:ascii="Calibri" w:hAnsi="Calibri"/>
        </w:rPr>
        <w:t xml:space="preserve">Discovery Question Map</w:t>
      </w:r>
    </w:p>
    <w:p>
      <w:pPr>
        <w:spacing w:after="100"/>
      </w:pPr>
      <w:r>
        <w:rPr>
          <w:rFonts w:ascii="Calibri" w:hAnsi="Calibri"/>
          <w:b/>
          <w:sz w:val="18"/>
          <w:szCs w:val="18"/>
          <w:color w:val="6B7280"/>
        </w:rPr>
        <w:t xml:space="preserve">CHEAT SHEET | SKILL: DISCOVERY | DIFFICULTY: INTERMEDIATE | EST. 6 MIN</w:t>
      </w:r>
    </w:p>
    <w:p>
      <w:pPr>
        <w:spacing w:before="40" w:after="160"/>
        <w:shd w:val="clear" w:color="auto" w:fill="EAF7EF"/>
        <w:ind w:left="160"/>
      </w:pPr>
      <w:r>
        <w:rPr>
          <w:rFonts w:ascii="Calibri" w:hAnsi="Calibri"/>
          <w:b/>
          <w:sz w:val="18"/>
          <w:szCs w:val="18"/>
          <w:color w:val="166534"/>
        </w:rPr>
        <w:t xml:space="preserve">Reviewed professional resource - AmplifyHub Practical Resource Library</w:t>
      </w:r>
    </w:p>
    <w:p>
      <w:pPr>
        <w:pStyle w:val="Heading1"/>
        <w:keepNext/>
      </w:pPr>
      <w:r>
        <w:rPr>
          <w:rFonts w:ascii="Calibri" w:hAnsi="Calibri"/>
        </w:rPr>
        <w:t xml:space="preserve">Overview</w:t>
      </w:r>
    </w:p>
    <w:p>
      <w:pPr>
        <w:spacing w:after="12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A map of open questions across five areas — situation, problem, impact, goal, and next step — for a scheduled discovery conversation, so you explore instead of interrogate.</w:t>
      </w:r>
    </w:p>
    <w:p>
      <w:pPr>
        <w:pStyle w:val="Heading1"/>
        <w:keepNext/>
      </w:pPr>
      <w:r>
        <w:rPr>
          <w:rFonts w:ascii="Calibri" w:hAnsi="Calibri"/>
        </w:rPr>
        <w:t xml:space="preserve">Learning objectives</w:t>
      </w:r>
    </w:p>
    <w:p>
      <w:pPr>
        <w:numPr>
          <w:ilvl w:val="0"/>
          <w:numId w:val="1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Cover five discovery areas with open questions</w:t>
      </w:r>
    </w:p>
    <w:p>
      <w:pPr>
        <w:numPr>
          <w:ilvl w:val="0"/>
          <w:numId w:val="1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Move from facts to impact naturally</w:t>
      </w:r>
    </w:p>
    <w:p>
      <w:pPr>
        <w:numPr>
          <w:ilvl w:val="0"/>
          <w:numId w:val="1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Avoid yes/no and leading questions</w:t>
      </w:r>
    </w:p>
    <w:p>
      <w:pPr>
        <w:numPr>
          <w:ilvl w:val="0"/>
          <w:numId w:val="1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Follow the prospect rather than a checklist</w:t>
      </w:r>
    </w:p>
    <w:p>
      <w:pPr>
        <w:pStyle w:val="Heading1"/>
        <w:keepNext/>
      </w:pPr>
      <w:r>
        <w:rPr>
          <w:rFonts w:ascii="Calibri" w:hAnsi="Calibri"/>
        </w:rPr>
        <w:t xml:space="preserve">The map</w:t>
      </w:r>
    </w:p>
    <w:tbl>
      <w:tblPr>
        <w:tblW w:w="9360" w:type="dxa"/>
        <w:tblInd w:w="12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  <w:tblBorders>
          <w:top w:val="single" w:sz="4" w:color="D9DEE7"/>
          <w:left w:val="single" w:sz="4" w:color="D9DEE7"/>
          <w:bottom w:val="single" w:sz="4" w:color="D9DEE7"/>
          <w:right w:val="single" w:sz="4" w:color="D9DEE7"/>
          <w:insideH w:val="single" w:sz="4" w:color="D9DEE7"/>
          <w:insideV w:val="single" w:sz="4" w:color="D9DEE7"/>
        </w:tblBorders>
      </w:tblPr>
      <w:tblGrid>
        <w:gridCol w:w="2005"/>
        <w:gridCol w:w="7355"/>
      </w:tblGrid>
      <w:tr>
        <w:trPr>
          <w:tblHeader/>
        </w:trPr>
        <w:tc>
          <w:tcPr>
            <w:tcW w:w="2005" w:type="dxa"/>
            <w:vAlign w:val="center"/>
            <w:shd w:val="clear" w:color="auto" w:fill="FFF3C4"/>
          </w:tcPr>
          <w:p>
            <w:pPr>
              <w:spacing w:after="40" w:line="280" w:lineRule="auto"/>
            </w:pPr>
            <w:r>
              <w:rPr>
                <w:rFonts w:ascii="Calibri" w:hAnsi="Calibri"/>
                <w:b/>
                <w:sz w:val="19"/>
                <w:szCs w:val="19"/>
                <w:color w:val="6B4F00"/>
              </w:rPr>
              <w:t xml:space="preserve">Area</w:t>
            </w:r>
          </w:p>
        </w:tc>
        <w:tc>
          <w:tcPr>
            <w:tcW w:w="7355" w:type="dxa"/>
            <w:vAlign w:val="center"/>
            <w:shd w:val="clear" w:color="auto" w:fill="FFF3C4"/>
          </w:tcPr>
          <w:p>
            <w:pPr>
              <w:spacing w:after="40" w:line="280" w:lineRule="auto"/>
            </w:pPr>
            <w:r>
              <w:rPr>
                <w:rFonts w:ascii="Calibri" w:hAnsi="Calibri"/>
                <w:b/>
                <w:sz w:val="19"/>
                <w:szCs w:val="19"/>
                <w:color w:val="6B4F00"/>
              </w:rPr>
              <w:t xml:space="preserve">Example question</w:t>
            </w:r>
          </w:p>
        </w:tc>
      </w:tr>
      <w:tr>
        <w:tc>
          <w:tcPr>
            <w:tcW w:w="2005" w:type="dxa"/>
            <w:vAlign w:val="center"/>
          </w:tcPr>
          <w:p>
            <w:pPr>
              <w:spacing w:after="40" w:line="280" w:lineRule="auto"/>
            </w:pPr>
            <w:r>
              <w:rPr>
                <w:rFonts w:ascii="Calibri" w:hAnsi="Calibri"/>
                <w:sz w:val="19"/>
                <w:szCs w:val="19"/>
                <w:color w:val="283548"/>
              </w:rPr>
              <w:t xml:space="preserve">Situation</w:t>
            </w:r>
          </w:p>
        </w:tc>
        <w:tc>
          <w:tcPr>
            <w:tcW w:w="7355" w:type="dxa"/>
            <w:vAlign w:val="center"/>
          </w:tcPr>
          <w:p>
            <w:pPr>
              <w:spacing w:after="40" w:line="280" w:lineRule="auto"/>
            </w:pPr>
            <w:r>
              <w:rPr>
                <w:rFonts w:ascii="Calibri" w:hAnsi="Calibri"/>
                <w:sz w:val="19"/>
                <w:szCs w:val="19"/>
                <w:color w:val="283548"/>
              </w:rPr>
              <w:t xml:space="preserve">"How is this handled today?"</w:t>
            </w:r>
          </w:p>
        </w:tc>
      </w:tr>
      <w:tr>
        <w:tc>
          <w:tcPr>
            <w:tcW w:w="2005" w:type="dxa"/>
            <w:vAlign w:val="center"/>
          </w:tcPr>
          <w:p>
            <w:pPr>
              <w:spacing w:after="40" w:line="280" w:lineRule="auto"/>
            </w:pPr>
            <w:r>
              <w:rPr>
                <w:rFonts w:ascii="Calibri" w:hAnsi="Calibri"/>
                <w:sz w:val="19"/>
                <w:szCs w:val="19"/>
                <w:color w:val="283548"/>
              </w:rPr>
              <w:t xml:space="preserve">Problem</w:t>
            </w:r>
          </w:p>
        </w:tc>
        <w:tc>
          <w:tcPr>
            <w:tcW w:w="7355" w:type="dxa"/>
            <w:vAlign w:val="center"/>
          </w:tcPr>
          <w:p>
            <w:pPr>
              <w:spacing w:after="40" w:line="280" w:lineRule="auto"/>
            </w:pPr>
            <w:r>
              <w:rPr>
                <w:rFonts w:ascii="Calibri" w:hAnsi="Calibri"/>
                <w:sz w:val="19"/>
                <w:szCs w:val="19"/>
                <w:color w:val="283548"/>
              </w:rPr>
              <w:t xml:space="preserve">"Where does that tend to break down?"</w:t>
            </w:r>
          </w:p>
        </w:tc>
      </w:tr>
      <w:tr>
        <w:tc>
          <w:tcPr>
            <w:tcW w:w="2005" w:type="dxa"/>
            <w:vAlign w:val="center"/>
          </w:tcPr>
          <w:p>
            <w:pPr>
              <w:spacing w:after="40" w:line="280" w:lineRule="auto"/>
            </w:pPr>
            <w:r>
              <w:rPr>
                <w:rFonts w:ascii="Calibri" w:hAnsi="Calibri"/>
                <w:sz w:val="19"/>
                <w:szCs w:val="19"/>
                <w:color w:val="283548"/>
              </w:rPr>
              <w:t xml:space="preserve">Impact</w:t>
            </w:r>
          </w:p>
        </w:tc>
        <w:tc>
          <w:tcPr>
            <w:tcW w:w="7355" w:type="dxa"/>
            <w:vAlign w:val="center"/>
          </w:tcPr>
          <w:p>
            <w:pPr>
              <w:spacing w:after="40" w:line="280" w:lineRule="auto"/>
            </w:pPr>
            <w:r>
              <w:rPr>
                <w:rFonts w:ascii="Calibri" w:hAnsi="Calibri"/>
                <w:sz w:val="19"/>
                <w:szCs w:val="19"/>
                <w:color w:val="283548"/>
              </w:rPr>
              <w:t xml:space="preserve">"When it breaks, what does it cost you in time or stress?"</w:t>
            </w:r>
          </w:p>
        </w:tc>
      </w:tr>
      <w:tr>
        <w:tc>
          <w:tcPr>
            <w:tcW w:w="2005" w:type="dxa"/>
            <w:vAlign w:val="center"/>
          </w:tcPr>
          <w:p>
            <w:pPr>
              <w:spacing w:after="40" w:line="280" w:lineRule="auto"/>
            </w:pPr>
            <w:r>
              <w:rPr>
                <w:rFonts w:ascii="Calibri" w:hAnsi="Calibri"/>
                <w:sz w:val="19"/>
                <w:szCs w:val="19"/>
                <w:color w:val="283548"/>
              </w:rPr>
              <w:t xml:space="preserve">Goal</w:t>
            </w:r>
          </w:p>
        </w:tc>
        <w:tc>
          <w:tcPr>
            <w:tcW w:w="7355" w:type="dxa"/>
            <w:vAlign w:val="center"/>
          </w:tcPr>
          <w:p>
            <w:pPr>
              <w:spacing w:after="40" w:line="280" w:lineRule="auto"/>
            </w:pPr>
            <w:r>
              <w:rPr>
                <w:rFonts w:ascii="Calibri" w:hAnsi="Calibri"/>
                <w:sz w:val="19"/>
                <w:szCs w:val="19"/>
                <w:color w:val="283548"/>
              </w:rPr>
              <w:t xml:space="preserve">"What would good look like six months from now?"</w:t>
            </w:r>
          </w:p>
        </w:tc>
      </w:tr>
      <w:tr>
        <w:tc>
          <w:tcPr>
            <w:tcW w:w="2005" w:type="dxa"/>
            <w:vAlign w:val="center"/>
          </w:tcPr>
          <w:p>
            <w:pPr>
              <w:spacing w:after="40" w:line="280" w:lineRule="auto"/>
            </w:pPr>
            <w:r>
              <w:rPr>
                <w:rFonts w:ascii="Calibri" w:hAnsi="Calibri"/>
                <w:sz w:val="19"/>
                <w:szCs w:val="19"/>
                <w:color w:val="283548"/>
              </w:rPr>
              <w:t xml:space="preserve">Next step</w:t>
            </w:r>
          </w:p>
        </w:tc>
        <w:tc>
          <w:tcPr>
            <w:tcW w:w="7355" w:type="dxa"/>
            <w:vAlign w:val="center"/>
          </w:tcPr>
          <w:p>
            <w:pPr>
              <w:spacing w:after="40" w:line="280" w:lineRule="auto"/>
            </w:pPr>
            <w:r>
              <w:rPr>
                <w:rFonts w:ascii="Calibri" w:hAnsi="Calibri"/>
                <w:sz w:val="19"/>
                <w:szCs w:val="19"/>
                <w:color w:val="283548"/>
              </w:rPr>
              <w:t xml:space="preserve">"What would make it worth exploring further?"</w:t>
            </w:r>
          </w:p>
        </w:tc>
      </w:tr>
    </w:tbl>
    <w:p>
      <w:pPr>
        <w:spacing w:after="80"/>
      </w:pPr>
      <w:r>
        <w:rPr>
          <w:rFonts w:ascii="Calibri" w:hAnsi="Calibri"/>
        </w:rPr>
        <w:t xml:space="preserve"/>
      </w:r>
    </w:p>
    <w:p>
      <w:pPr>
        <w:pStyle w:val="Heading1"/>
        <w:keepNext/>
      </w:pPr>
      <w:r>
        <w:rPr>
          <w:rFonts w:ascii="Calibri" w:hAnsi="Calibri"/>
        </w:rPr>
        <w:t xml:space="preserve">Use it well</w:t>
      </w:r>
    </w:p>
    <w:p>
      <w:pPr>
        <w:numPr>
          <w:ilvl w:val="0"/>
          <w:numId w:val="1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This is for a booked discovery call, not a cold-call interrogation.</w:t>
      </w:r>
    </w:p>
    <w:p>
      <w:pPr>
        <w:numPr>
          <w:ilvl w:val="0"/>
          <w:numId w:val="1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Ask one question, then actually listen and follow the answer.</w:t>
      </w:r>
    </w:p>
    <w:p>
      <w:pPr>
        <w:numPr>
          <w:ilvl w:val="0"/>
          <w:numId w:val="1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You do not need every question — depth beats coverage.</w:t>
      </w:r>
    </w:p>
    <w:p>
      <w:pPr>
        <w:pStyle w:val="Heading1"/>
        <w:keepNext/>
      </w:pPr>
      <w:r>
        <w:rPr>
          <w:rFonts w:ascii="Calibri" w:hAnsi="Calibri"/>
        </w:rPr>
        <w:t xml:space="preserve">Professional standard</w:t>
      </w:r>
    </w:p>
    <w:p>
      <w:pPr>
        <w:spacing w:after="12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Professional discovery helps both sides understand the current situation, impact, priorities, and decision process. Questions should follow what the person says rather than forcing a predetermined qualification path.</w:t>
      </w:r>
    </w:p>
    <w:p>
      <w:pPr>
        <w:pStyle w:val="Heading1"/>
        <w:keepNext/>
      </w:pPr>
      <w:r>
        <w:rPr>
          <w:rFonts w:ascii="Calibri" w:hAnsi="Calibri"/>
        </w:rPr>
        <w:t xml:space="preserve">Professional workflow</w:t>
      </w:r>
    </w:p>
    <w:p>
      <w:pPr>
        <w:numPr>
          <w:ilvl w:val="0"/>
          <w:numId w:val="2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Read the full guide once, then highlight only the two or three prompts that match the situation you are practising today.</w:t>
      </w:r>
    </w:p>
    <w:p>
      <w:pPr>
        <w:numPr>
          <w:ilvl w:val="0"/>
          <w:numId w:val="2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Keep the cheat sheet visible as a reminder, not as a script. Look away from it while speaking so your attention stays on the conversation.</w:t>
      </w:r>
    </w:p>
    <w:p>
      <w:pPr>
        <w:numPr>
          <w:ilvl w:val="0"/>
          <w:numId w:val="2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Rehearse the decision points, especially where the other person can redirect, disagree, or end the interaction.</w:t>
      </w:r>
    </w:p>
    <w:p>
      <w:pPr>
        <w:numPr>
          <w:ilvl w:val="0"/>
          <w:numId w:val="2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Mark the guidance you actually used and write one short note about what happened. Real observations are more useful than trying to memorise every line.</w:t>
      </w:r>
    </w:p>
    <w:p>
      <w:pPr>
        <w:numPr>
          <w:ilvl w:val="0"/>
          <w:numId w:val="2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Retire prompts that feel unnatural or do not fit your market. A smaller personalised reference is more professional than a crowded universal one.</w:t>
      </w:r>
    </w:p>
    <w:p>
      <w:pPr>
        <w:pStyle w:val="Heading1"/>
        <w:keepNext/>
      </w:pPr>
      <w:r>
        <w:rPr>
          <w:rFonts w:ascii="Calibri" w:hAnsi="Calibri"/>
        </w:rPr>
        <w:t xml:space="preserve">Quality-control review</w:t>
      </w:r>
    </w:p>
    <w:tbl>
      <w:tblPr>
        <w:tblW w:w="9360" w:type="dxa"/>
        <w:tblInd w:w="12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  <w:tblBorders>
          <w:top w:val="single" w:sz="4" w:color="D9DEE7"/>
          <w:left w:val="single" w:sz="4" w:color="D9DEE7"/>
          <w:bottom w:val="single" w:sz="4" w:color="D9DEE7"/>
          <w:right w:val="single" w:sz="4" w:color="D9DEE7"/>
          <w:insideH w:val="single" w:sz="4" w:color="D9DEE7"/>
          <w:insideV w:val="single" w:sz="4" w:color="D9DEE7"/>
        </w:tblBorders>
      </w:tblPr>
      <w:tblGrid>
        <w:gridCol w:w="1440"/>
        <w:gridCol w:w="3960"/>
        <w:gridCol w:w="3960"/>
      </w:tblGrid>
      <w:tr>
        <w:trPr>
          <w:tblHeader/>
        </w:trPr>
        <w:tc>
          <w:tcPr>
            <w:tcW w:w="1440" w:type="dxa"/>
            <w:vAlign w:val="center"/>
            <w:shd w:val="clear" w:color="auto" w:fill="FFF3C4"/>
          </w:tcPr>
          <w:p>
            <w:pPr>
              <w:spacing w:after="40" w:line="280" w:lineRule="auto"/>
            </w:pPr>
            <w:r>
              <w:rPr>
                <w:rFonts w:ascii="Calibri" w:hAnsi="Calibri"/>
                <w:b/>
                <w:sz w:val="19"/>
                <w:szCs w:val="19"/>
                <w:color w:val="6B4F00"/>
              </w:rPr>
              <w:t xml:space="preserve">Review point</w:t>
            </w:r>
          </w:p>
        </w:tc>
        <w:tc>
          <w:tcPr>
            <w:tcW w:w="3960" w:type="dxa"/>
            <w:vAlign w:val="center"/>
            <w:shd w:val="clear" w:color="auto" w:fill="FFF3C4"/>
          </w:tcPr>
          <w:p>
            <w:pPr>
              <w:spacing w:after="40" w:line="280" w:lineRule="auto"/>
            </w:pPr>
            <w:r>
              <w:rPr>
                <w:rFonts w:ascii="Calibri" w:hAnsi="Calibri"/>
                <w:b/>
                <w:sz w:val="19"/>
                <w:szCs w:val="19"/>
                <w:color w:val="6B4F00"/>
              </w:rPr>
              <w:t xml:space="preserve">Professional standard</w:t>
            </w:r>
          </w:p>
        </w:tc>
        <w:tc>
          <w:tcPr>
            <w:tcW w:w="3960" w:type="dxa"/>
            <w:vAlign w:val="center"/>
            <w:shd w:val="clear" w:color="auto" w:fill="FFF3C4"/>
          </w:tcPr>
          <w:p>
            <w:pPr>
              <w:spacing w:after="40" w:line="280" w:lineRule="auto"/>
            </w:pPr>
            <w:r>
              <w:rPr>
                <w:rFonts w:ascii="Calibri" w:hAnsi="Calibri"/>
                <w:b/>
                <w:sz w:val="19"/>
                <w:szCs w:val="19"/>
                <w:color w:val="6B4F00"/>
              </w:rPr>
              <w:t xml:space="preserve">Warning sign</w:t>
            </w:r>
          </w:p>
        </w:tc>
      </w:tr>
      <w:tr>
        <w:tc>
          <w:tcPr>
            <w:tcW w:w="1440" w:type="dxa"/>
            <w:vAlign w:val="center"/>
          </w:tcPr>
          <w:p>
            <w:pPr>
              <w:spacing w:after="40" w:line="280" w:lineRule="auto"/>
            </w:pPr>
            <w:r>
              <w:rPr>
                <w:rFonts w:ascii="Calibri" w:hAnsi="Calibri"/>
                <w:sz w:val="19"/>
                <w:szCs w:val="19"/>
                <w:color w:val="283548"/>
              </w:rPr>
              <w:t xml:space="preserve">Agenda</w:t>
            </w:r>
          </w:p>
        </w:tc>
        <w:tc>
          <w:tcPr>
            <w:tcW w:w="3960" w:type="dxa"/>
            <w:vAlign w:val="center"/>
          </w:tcPr>
          <w:p>
            <w:pPr>
              <w:spacing w:after="40" w:line="280" w:lineRule="auto"/>
            </w:pPr>
            <w:r>
              <w:rPr>
                <w:rFonts w:ascii="Calibri" w:hAnsi="Calibri"/>
                <w:sz w:val="19"/>
                <w:szCs w:val="19"/>
                <w:color w:val="283548"/>
              </w:rPr>
              <w:t xml:space="preserve">Purpose, available time, and desired outcome are confirmed together.</w:t>
            </w:r>
          </w:p>
        </w:tc>
        <w:tc>
          <w:tcPr>
            <w:tcW w:w="3960" w:type="dxa"/>
            <w:vAlign w:val="center"/>
          </w:tcPr>
          <w:p>
            <w:pPr>
              <w:spacing w:after="40" w:line="280" w:lineRule="auto"/>
            </w:pPr>
            <w:r>
              <w:rPr>
                <w:rFonts w:ascii="Calibri" w:hAnsi="Calibri"/>
                <w:sz w:val="19"/>
                <w:szCs w:val="19"/>
                <w:color w:val="283548"/>
              </w:rPr>
              <w:t xml:space="preserve">The seller starts interrogating without setting context.</w:t>
            </w:r>
          </w:p>
        </w:tc>
      </w:tr>
      <w:tr>
        <w:tc>
          <w:tcPr>
            <w:tcW w:w="1440" w:type="dxa"/>
            <w:vAlign w:val="center"/>
          </w:tcPr>
          <w:p>
            <w:pPr>
              <w:spacing w:after="40" w:line="280" w:lineRule="auto"/>
            </w:pPr>
            <w:r>
              <w:rPr>
                <w:rFonts w:ascii="Calibri" w:hAnsi="Calibri"/>
                <w:sz w:val="19"/>
                <w:szCs w:val="19"/>
                <w:color w:val="283548"/>
              </w:rPr>
              <w:t xml:space="preserve">Question quality</w:t>
            </w:r>
          </w:p>
        </w:tc>
        <w:tc>
          <w:tcPr>
            <w:tcW w:w="3960" w:type="dxa"/>
            <w:vAlign w:val="center"/>
          </w:tcPr>
          <w:p>
            <w:pPr>
              <w:spacing w:after="40" w:line="280" w:lineRule="auto"/>
            </w:pPr>
            <w:r>
              <w:rPr>
                <w:rFonts w:ascii="Calibri" w:hAnsi="Calibri"/>
                <w:sz w:val="19"/>
                <w:szCs w:val="19"/>
                <w:color w:val="283548"/>
              </w:rPr>
              <w:t xml:space="preserve">Questions are open, neutral, and connected to the previous answer.</w:t>
            </w:r>
          </w:p>
        </w:tc>
        <w:tc>
          <w:tcPr>
            <w:tcW w:w="3960" w:type="dxa"/>
            <w:vAlign w:val="center"/>
          </w:tcPr>
          <w:p>
            <w:pPr>
              <w:spacing w:after="40" w:line="280" w:lineRule="auto"/>
            </w:pPr>
            <w:r>
              <w:rPr>
                <w:rFonts w:ascii="Calibri" w:hAnsi="Calibri"/>
                <w:sz w:val="19"/>
                <w:szCs w:val="19"/>
                <w:color w:val="283548"/>
              </w:rPr>
              <w:t xml:space="preserve">Questions are leading, stacked, or designed to trap agreement.</w:t>
            </w:r>
          </w:p>
        </w:tc>
      </w:tr>
      <w:tr>
        <w:tc>
          <w:tcPr>
            <w:tcW w:w="1440" w:type="dxa"/>
            <w:vAlign w:val="center"/>
          </w:tcPr>
          <w:p>
            <w:pPr>
              <w:spacing w:after="40" w:line="280" w:lineRule="auto"/>
            </w:pPr>
            <w:r>
              <w:rPr>
                <w:rFonts w:ascii="Calibri" w:hAnsi="Calibri"/>
                <w:sz w:val="19"/>
                <w:szCs w:val="19"/>
                <w:color w:val="283548"/>
              </w:rPr>
              <w:t xml:space="preserve">Depth</w:t>
            </w:r>
          </w:p>
        </w:tc>
        <w:tc>
          <w:tcPr>
            <w:tcW w:w="3960" w:type="dxa"/>
            <w:vAlign w:val="center"/>
          </w:tcPr>
          <w:p>
            <w:pPr>
              <w:spacing w:after="40" w:line="280" w:lineRule="auto"/>
            </w:pPr>
            <w:r>
              <w:rPr>
                <w:rFonts w:ascii="Calibri" w:hAnsi="Calibri"/>
                <w:sz w:val="19"/>
                <w:szCs w:val="19"/>
                <w:color w:val="283548"/>
              </w:rPr>
              <w:t xml:space="preserve">Specific examples and consequences are explored with permission.</w:t>
            </w:r>
          </w:p>
        </w:tc>
        <w:tc>
          <w:tcPr>
            <w:tcW w:w="3960" w:type="dxa"/>
            <w:vAlign w:val="center"/>
          </w:tcPr>
          <w:p>
            <w:pPr>
              <w:spacing w:after="40" w:line="280" w:lineRule="auto"/>
            </w:pPr>
            <w:r>
              <w:rPr>
                <w:rFonts w:ascii="Calibri" w:hAnsi="Calibri"/>
                <w:sz w:val="19"/>
                <w:szCs w:val="19"/>
                <w:color w:val="283548"/>
              </w:rPr>
              <w:t xml:space="preserve">The conversation stays abstract or rushes to a solution.</w:t>
            </w:r>
          </w:p>
        </w:tc>
      </w:tr>
      <w:tr>
        <w:tc>
          <w:tcPr>
            <w:tcW w:w="1440" w:type="dxa"/>
            <w:vAlign w:val="center"/>
          </w:tcPr>
          <w:p>
            <w:pPr>
              <w:spacing w:after="40" w:line="280" w:lineRule="auto"/>
            </w:pPr>
            <w:r>
              <w:rPr>
                <w:rFonts w:ascii="Calibri" w:hAnsi="Calibri"/>
                <w:sz w:val="19"/>
                <w:szCs w:val="19"/>
                <w:color w:val="283548"/>
              </w:rPr>
              <w:t xml:space="preserve">Recap</w:t>
            </w:r>
          </w:p>
        </w:tc>
        <w:tc>
          <w:tcPr>
            <w:tcW w:w="3960" w:type="dxa"/>
            <w:vAlign w:val="center"/>
          </w:tcPr>
          <w:p>
            <w:pPr>
              <w:spacing w:after="40" w:line="280" w:lineRule="auto"/>
            </w:pPr>
            <w:r>
              <w:rPr>
                <w:rFonts w:ascii="Calibri" w:hAnsi="Calibri"/>
                <w:sz w:val="19"/>
                <w:szCs w:val="19"/>
                <w:color w:val="283548"/>
              </w:rPr>
              <w:t xml:space="preserve">Facts, assumptions, priorities, and next steps are summarised accurately.</w:t>
            </w:r>
          </w:p>
        </w:tc>
        <w:tc>
          <w:tcPr>
            <w:tcW w:w="3960" w:type="dxa"/>
            <w:vAlign w:val="center"/>
          </w:tcPr>
          <w:p>
            <w:pPr>
              <w:spacing w:after="40" w:line="280" w:lineRule="auto"/>
            </w:pPr>
            <w:r>
              <w:rPr>
                <w:rFonts w:ascii="Calibri" w:hAnsi="Calibri"/>
                <w:sz w:val="19"/>
                <w:szCs w:val="19"/>
                <w:color w:val="283548"/>
              </w:rPr>
              <w:t xml:space="preserve">The seller paraphrases the answer into a stronger claim than was made.</w:t>
            </w:r>
          </w:p>
        </w:tc>
      </w:tr>
    </w:tbl>
    <w:p>
      <w:pPr>
        <w:spacing w:after="80"/>
      </w:pPr>
      <w:r>
        <w:rPr>
          <w:rFonts w:ascii="Calibri" w:hAnsi="Calibri"/>
        </w:rPr>
        <w:t xml:space="preserve"/>
      </w:r>
    </w:p>
    <w:p>
      <w:pPr>
        <w:pStyle w:val="Heading1"/>
        <w:keepNext/>
      </w:pPr>
      <w:r>
        <w:rPr>
          <w:rFonts w:ascii="Calibri" w:hAnsi="Calibri"/>
        </w:rPr>
        <w:t xml:space="preserve">Evidence and improvement signals</w:t>
      </w:r>
    </w:p>
    <w:p>
      <w:pPr>
        <w:numPr>
          <w:ilvl w:val="0"/>
          <w:numId w:val="1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Review talk balance alongside question quality; a lower talk ratio is not automatically better.</w:t>
      </w:r>
    </w:p>
    <w:p>
      <w:pPr>
        <w:numPr>
          <w:ilvl w:val="0"/>
          <w:numId w:val="1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Count how many important facts were confirmed in the final recap rather than assumed.</w:t>
      </w:r>
    </w:p>
    <w:p>
      <w:pPr>
        <w:numPr>
          <w:ilvl w:val="0"/>
          <w:numId w:val="1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Note unanswered questions and agree whether they matter before scheduling another step.</w:t>
      </w:r>
    </w:p>
    <w:p>
      <w:pPr>
        <w:numPr>
          <w:ilvl w:val="0"/>
          <w:numId w:val="1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Evaluate whether the proposed next step follows logically from the stated priority.</w:t>
      </w:r>
    </w:p>
    <w:p>
      <w:pPr>
        <w:pStyle w:val="Heading1"/>
        <w:keepNext/>
      </w:pPr>
      <w:r>
        <w:rPr>
          <w:rFonts w:ascii="Calibri" w:hAnsi="Calibri"/>
        </w:rPr>
        <w:t xml:space="preserve">Worked example</w:t>
      </w:r>
    </w:p>
    <w:p>
      <w:pPr>
        <w:spacing w:after="12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Situation: "How do you schedule drivers now?" → "Spreadsheets." Problem: "Where does that get painful?" → "Last-minute changes." Impact: "What does a bad week cost you?" → "Overtime and missed pickups." That thread is worth more than firing all five questions in order.</w:t>
      </w:r>
    </w:p>
    <w:p>
      <w:pPr>
        <w:pStyle w:val="Heading1"/>
        <w:keepNext/>
      </w:pPr>
      <w:r>
        <w:rPr>
          <w:rFonts w:ascii="Calibri" w:hAnsi="Calibri"/>
        </w:rPr>
        <w:t xml:space="preserve">Safe-practice note</w:t>
      </w:r>
    </w:p>
    <w:p>
      <w:pPr>
        <w:spacing w:after="12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Discovery is a conversation, not a checklist to power through. Do not use it to trap someone with leading questions. Only use it when a discovery call is actually scheduled and welcome.</w:t>
      </w:r>
    </w:p>
    <w:p>
      <w:pPr>
        <w:spacing w:before="240" w:after="40"/>
      </w:pPr>
      <w:r>
        <w:rPr>
          <w:rFonts w:ascii="Calibri" w:hAnsi="Calibri"/>
          <w:sz w:val="17"/>
          <w:szCs w:val="17"/>
          <w:color w:val="7B8494"/>
        </w:rPr>
        <w:t xml:space="preserve">Last reviewed: 2026-07-28 | AmplifyHub Practical Resource Library</w:t>
      </w:r>
    </w:p>
    <w:sectPr>
      <w:headerReference w:type="default" r:id="rId3"/>
      <w:footerReference w:type="default" r:id="rId4"/>
      <w:pgSz w:w="12240" w:h="15840"/>
      <w:pgMar w:top="1440" w:right="1440" w:bottom="1440" w:left="1440" w:header="708" w:footer="708" w:gutter="0"/>
    </w:sectPr>
  </w:body>
</w:document>
</file>

<file path=word/footer1.xml><?xml version="1.0" encoding="utf-8"?>
<w:ftr xmlns:w="http://schemas.openxmlformats.org/wordprocessingml/2006/main">
  <w:p>
    <w:pPr>
      <w:jc w:val="right"/>
    </w:pPr>
    <w:r>
      <w:rPr>
        <w:color w:val="7B8494"/>
        <w:sz w:val="16"/>
      </w:rPr>
      <w:t>AmplifyHub  |  Page </w:t>
    </w:r>
    <w:fldSimple w:instr="PAGE">
      <w:r>
        <w:rPr>
          <w:color w:val="7B8494"/>
          <w:sz w:val="16"/>
        </w:rPr>
        <w:t>1</w:t>
      </w:r>
    </w:fldSimple>
  </w:p>
</w:ftr>
</file>

<file path=word/header1.xml><?xml version="1.0" encoding="utf-8"?>
<w:hdr xmlns:w="http://schemas.openxmlformats.org/wordprocessingml/2006/main">
  <w:p>
    <w:pPr>
      <w:spacing w:after="40"/>
    </w:pPr>
    <w:r>
      <w:rPr>
        <w:rFonts w:ascii="Calibri" w:hAnsi="Calibri"/>
        <w:b/>
        <w:sz w:val="16"/>
        <w:szCs w:val="16"/>
        <w:color w:val="8A6200"/>
      </w:rPr>
      <w:t xml:space="preserve">AMPLIFYHUB  |  PRACTICAL RESOURCE LIBRARY</w:t>
    </w:r>
  </w:p>
</w:hdr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/>
      </w:rPr>
    </w:lvl>
  </w:abstractNum>
  <w:abstractNum w:abstractNumId="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300" w:lineRule="auto"/>
      </w:pPr>
    </w:pPrDefault>
  </w:docDefaults>
  <w:style w:type="paragraph" w:default="1" w:styleId="Normal">
    <w:name w:val="Normal"/>
    <w:pPr>
      <w:spacing w:after="120" w:line="300" w:lineRule="auto"/>
    </w:pPr>
    <w:rPr>
      <w:rFonts w:ascii="Calibri" w:hAnsi="Calibri"/>
      <w:sz w:val="22"/>
      <w:color w:val="283548"/>
    </w:rPr>
  </w:style>
  <w:style w:type="paragraph" w:styleId="Title">
    <w:name w:val="Title"/>
    <w:pPr>
      <w:keepNext/>
      <w:spacing w:after="120"/>
    </w:pPr>
    <w:rPr>
      <w:rFonts w:ascii="Calibri" w:hAnsi="Calibri"/>
      <w:b/>
      <w:sz w:val="56"/>
      <w:color w:val="172033"/>
    </w:rPr>
  </w:style>
  <w:style w:type="paragraph" w:styleId="Heading1">
    <w:name w:val="Heading 1"/>
    <w:pPr>
      <w:keepNext/>
      <w:spacing w:before="280" w:after="140"/>
    </w:pPr>
    <w:rPr>
      <w:rFonts w:ascii="Calibri" w:hAnsi="Calibri"/>
      <w:b/>
      <w:sz w:val="30"/>
      <w:color w:val="8A6200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header" Target="header1.xml"/><Relationship Id="rId4" Type="http://schemas.openxmlformats.org/officeDocument/2006/relationships/footer" Target="footer1.xml"/></Relationships>
</file>