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rFonts w:ascii="Calibri" w:hAnsi="Calibri"/>
        </w:rPr>
        <w:t xml:space="preserve">30/60/90-Day Plan</w:t>
      </w:r>
    </w:p>
    <w:p>
      <w:pPr>
        <w:spacing w:after="100"/>
      </w:pPr>
      <w:r>
        <w:rPr>
          <w:rFonts w:ascii="Calibri" w:hAnsi="Calibri"/>
          <w:b/>
          <w:sz w:val="18"/>
          <w:szCs w:val="18"/>
          <w:color w:val="6B7280"/>
        </w:rPr>
        <w:t xml:space="preserve">INTERVIEW PREP | SKILL: INTERVIEW | DIFFICULTY: INTERMEDIATE | EST. 15 MIN</w:t>
      </w:r>
    </w:p>
    <w:p>
      <w:pPr>
        <w:spacing w:before="40" w:after="160"/>
        <w:shd w:val="clear" w:color="auto" w:fill="EAF7EF"/>
        <w:ind w:left="160"/>
      </w:pPr>
      <w:r>
        <w:rPr>
          <w:rFonts w:ascii="Calibri" w:hAnsi="Calibri"/>
          <w:b/>
          <w:sz w:val="18"/>
          <w:szCs w:val="18"/>
          <w:color w:val="166534"/>
        </w:rPr>
        <w:t xml:space="preserve">Reviewed professional resource - AmplifyHub Practical Resource Library</w:t>
      </w:r>
    </w:p>
    <w:p>
      <w:pPr>
        <w:pStyle w:val="Heading1"/>
        <w:keepNext/>
      </w:pPr>
      <w:r>
        <w:rPr>
          <w:rFonts w:ascii="Calibri" w:hAnsi="Calibri"/>
        </w:rPr>
        <w:t xml:space="preserve">Overview</w:t>
      </w:r>
    </w:p>
    <w:p>
      <w:pPr>
        <w:spacing w:after="120" w:line="300" w:lineRule="auto"/>
      </w:pPr>
      <w:r>
        <w:rPr>
          <w:rFonts w:ascii="Calibri" w:hAnsi="Calibri"/>
          <w:sz w:val="22"/>
          <w:szCs w:val="22"/>
          <w:color w:val="283548"/>
        </w:rPr>
        <w:t xml:space="preserve">A template for a realistic first-90-days plan you can talk through in an interview — learning the product and market first, then building activity, then improving results.</w:t>
      </w:r>
    </w:p>
    <w:p>
      <w:pPr>
        <w:pStyle w:val="Heading1"/>
        <w:keepNext/>
      </w:pPr>
      <w:r>
        <w:rPr>
          <w:rFonts w:ascii="Calibri" w:hAnsi="Calibri"/>
        </w:rPr>
        <w:t xml:space="preserve">Learning objectives</w:t>
      </w:r>
    </w:p>
    <w:p>
      <w:pPr>
        <w:numPr>
          <w:ilvl w:val="0"/>
          <w:numId w:val="1"/>
        </w:numPr>
        <w:spacing w:after="80" w:line="300" w:lineRule="auto"/>
      </w:pPr>
      <w:r>
        <w:rPr>
          <w:rFonts w:ascii="Calibri" w:hAnsi="Calibri"/>
          <w:sz w:val="22"/>
          <w:szCs w:val="22"/>
          <w:color w:val="283548"/>
        </w:rPr>
        <w:t xml:space="preserve">Show a sensible ramp from learning to results</w:t>
      </w:r>
    </w:p>
    <w:p>
      <w:pPr>
        <w:numPr>
          <w:ilvl w:val="0"/>
          <w:numId w:val="1"/>
        </w:numPr>
        <w:spacing w:after="80" w:line="300" w:lineRule="auto"/>
      </w:pPr>
      <w:r>
        <w:rPr>
          <w:rFonts w:ascii="Calibri" w:hAnsi="Calibri"/>
          <w:sz w:val="22"/>
          <w:szCs w:val="22"/>
          <w:color w:val="283548"/>
        </w:rPr>
        <w:t xml:space="preserve">Set realistic, modest early goals</w:t>
      </w:r>
    </w:p>
    <w:p>
      <w:pPr>
        <w:numPr>
          <w:ilvl w:val="0"/>
          <w:numId w:val="1"/>
        </w:numPr>
        <w:spacing w:after="80" w:line="300" w:lineRule="auto"/>
      </w:pPr>
      <w:r>
        <w:rPr>
          <w:rFonts w:ascii="Calibri" w:hAnsi="Calibri"/>
          <w:sz w:val="22"/>
          <w:szCs w:val="22"/>
          <w:color w:val="283548"/>
        </w:rPr>
        <w:t xml:space="preserve">Focus first on learning, not big numbers</w:t>
      </w:r>
    </w:p>
    <w:p>
      <w:pPr>
        <w:numPr>
          <w:ilvl w:val="0"/>
          <w:numId w:val="1"/>
        </w:numPr>
        <w:spacing w:after="80" w:line="300" w:lineRule="auto"/>
      </w:pPr>
      <w:r>
        <w:rPr>
          <w:rFonts w:ascii="Calibri" w:hAnsi="Calibri"/>
          <w:sz w:val="22"/>
          <w:szCs w:val="22"/>
          <w:color w:val="283548"/>
        </w:rPr>
        <w:t xml:space="preserve">Demonstrate ownership of your own development</w:t>
      </w:r>
    </w:p>
    <w:p>
      <w:pPr>
        <w:pStyle w:val="Heading1"/>
        <w:keepNext/>
      </w:pPr>
      <w:r>
        <w:rPr>
          <w:rFonts w:ascii="Calibri" w:hAnsi="Calibri"/>
        </w:rPr>
        <w:t xml:space="preserve">The plan</w:t>
      </w:r>
    </w:p>
    <w:tbl>
      <w:tblPr>
        <w:tblW w:w="9360" w:type="dxa"/>
        <w:tblInd w:w="120" w:type="dxa"/>
        <w:tblLayout w:type="fixed"/>
        <w:tblCellMar>
          <w:top w:w="100" w:type="dxa"/>
          <w:left w:w="120" w:type="dxa"/>
          <w:bottom w:w="100" w:type="dxa"/>
          <w:right w:w="120" w:type="dxa"/>
        </w:tblCellMar>
        <w:tblBorders>
          <w:top w:val="single" w:sz="4" w:color="D9DEE7"/>
          <w:left w:val="single" w:sz="4" w:color="D9DEE7"/>
          <w:bottom w:val="single" w:sz="4" w:color="D9DEE7"/>
          <w:right w:val="single" w:sz="4" w:color="D9DEE7"/>
          <w:insideH w:val="single" w:sz="4" w:color="D9DEE7"/>
          <w:insideV w:val="single" w:sz="4" w:color="D9DEE7"/>
        </w:tblBorders>
      </w:tblPr>
      <w:tblGrid>
        <w:gridCol w:w="1690"/>
        <w:gridCol w:w="1950"/>
        <w:gridCol w:w="5720"/>
      </w:tblGrid>
      <w:tr>
        <w:trPr>
          <w:tblHeader/>
        </w:trPr>
        <w:tc>
          <w:tcPr>
            <w:tcW w:w="1690" w:type="dxa"/>
            <w:vAlign w:val="center"/>
            <w:shd w:val="clear" w:color="auto" w:fill="FFF3C4"/>
          </w:tcPr>
          <w:p>
            <w:pPr>
              <w:spacing w:after="40" w:line="280" w:lineRule="auto"/>
            </w:pPr>
            <w:r>
              <w:rPr>
                <w:rFonts w:ascii="Calibri" w:hAnsi="Calibri"/>
                <w:b/>
                <w:sz w:val="19"/>
                <w:szCs w:val="19"/>
                <w:color w:val="6B4F00"/>
              </w:rPr>
              <w:t xml:space="preserve">Phase</w:t>
            </w:r>
          </w:p>
        </w:tc>
        <w:tc>
          <w:tcPr>
            <w:tcW w:w="1950" w:type="dxa"/>
            <w:vAlign w:val="center"/>
            <w:shd w:val="clear" w:color="auto" w:fill="FFF3C4"/>
          </w:tcPr>
          <w:p>
            <w:pPr>
              <w:spacing w:after="40" w:line="280" w:lineRule="auto"/>
            </w:pPr>
            <w:r>
              <w:rPr>
                <w:rFonts w:ascii="Calibri" w:hAnsi="Calibri"/>
                <w:b/>
                <w:sz w:val="19"/>
                <w:szCs w:val="19"/>
                <w:color w:val="6B4F00"/>
              </w:rPr>
              <w:t xml:space="preserve">Main focus</w:t>
            </w:r>
          </w:p>
        </w:tc>
        <w:tc>
          <w:tcPr>
            <w:tcW w:w="5720" w:type="dxa"/>
            <w:vAlign w:val="center"/>
            <w:shd w:val="clear" w:color="auto" w:fill="FFF3C4"/>
          </w:tcPr>
          <w:p>
            <w:pPr>
              <w:spacing w:after="40" w:line="280" w:lineRule="auto"/>
            </w:pPr>
            <w:r>
              <w:rPr>
                <w:rFonts w:ascii="Calibri" w:hAnsi="Calibri"/>
                <w:b/>
                <w:sz w:val="19"/>
                <w:szCs w:val="19"/>
                <w:color w:val="6B4F00"/>
              </w:rPr>
              <w:t xml:space="preserve">Example goals</w:t>
            </w:r>
          </w:p>
        </w:tc>
      </w:tr>
      <w:tr>
        <w:tc>
          <w:tcPr>
            <w:tcW w:w="1690" w:type="dxa"/>
            <w:vAlign w:val="center"/>
          </w:tcPr>
          <w:p>
            <w:pPr>
              <w:spacing w:after="40" w:line="280" w:lineRule="auto"/>
            </w:pPr>
            <w:r>
              <w:rPr>
                <w:rFonts w:ascii="Calibri" w:hAnsi="Calibri"/>
                <w:sz w:val="19"/>
                <w:szCs w:val="19"/>
                <w:color w:val="283548"/>
              </w:rPr>
              <w:t xml:space="preserve">First 30 days</w:t>
            </w:r>
          </w:p>
        </w:tc>
        <w:tc>
          <w:tcPr>
            <w:tcW w:w="1950" w:type="dxa"/>
            <w:vAlign w:val="center"/>
          </w:tcPr>
          <w:p>
            <w:pPr>
              <w:spacing w:after="40" w:line="280" w:lineRule="auto"/>
            </w:pPr>
            <w:r>
              <w:rPr>
                <w:rFonts w:ascii="Calibri" w:hAnsi="Calibri"/>
                <w:sz w:val="19"/>
                <w:szCs w:val="19"/>
                <w:color w:val="283548"/>
              </w:rPr>
              <w:t xml:space="preserve">Learn</w:t>
            </w:r>
          </w:p>
        </w:tc>
        <w:tc>
          <w:tcPr>
            <w:tcW w:w="5720" w:type="dxa"/>
            <w:vAlign w:val="center"/>
          </w:tcPr>
          <w:p>
            <w:pPr>
              <w:spacing w:after="40" w:line="280" w:lineRule="auto"/>
            </w:pPr>
            <w:r>
              <w:rPr>
                <w:rFonts w:ascii="Calibri" w:hAnsi="Calibri"/>
                <w:sz w:val="19"/>
                <w:szCs w:val="19"/>
                <w:color w:val="283548"/>
              </w:rPr>
              <w:t xml:space="preserve">Product, ICP, tools, shadow calls, first practice calls.</w:t>
            </w:r>
          </w:p>
        </w:tc>
      </w:tr>
      <w:tr>
        <w:tc>
          <w:tcPr>
            <w:tcW w:w="1690" w:type="dxa"/>
            <w:vAlign w:val="center"/>
          </w:tcPr>
          <w:p>
            <w:pPr>
              <w:spacing w:after="40" w:line="280" w:lineRule="auto"/>
            </w:pPr>
            <w:r>
              <w:rPr>
                <w:rFonts w:ascii="Calibri" w:hAnsi="Calibri"/>
                <w:sz w:val="19"/>
                <w:szCs w:val="19"/>
                <w:color w:val="283548"/>
              </w:rPr>
              <w:t xml:space="preserve">Days 31–60</w:t>
            </w:r>
          </w:p>
        </w:tc>
        <w:tc>
          <w:tcPr>
            <w:tcW w:w="1950" w:type="dxa"/>
            <w:vAlign w:val="center"/>
          </w:tcPr>
          <w:p>
            <w:pPr>
              <w:spacing w:after="40" w:line="280" w:lineRule="auto"/>
            </w:pPr>
            <w:r>
              <w:rPr>
                <w:rFonts w:ascii="Calibri" w:hAnsi="Calibri"/>
                <w:sz w:val="19"/>
                <w:szCs w:val="19"/>
                <w:color w:val="283548"/>
              </w:rPr>
              <w:t xml:space="preserve">Build activity</w:t>
            </w:r>
          </w:p>
        </w:tc>
        <w:tc>
          <w:tcPr>
            <w:tcW w:w="5720" w:type="dxa"/>
            <w:vAlign w:val="center"/>
          </w:tcPr>
          <w:p>
            <w:pPr>
              <w:spacing w:after="40" w:line="280" w:lineRule="auto"/>
            </w:pPr>
            <w:r>
              <w:rPr>
                <w:rFonts w:ascii="Calibri" w:hAnsi="Calibri"/>
                <w:sz w:val="19"/>
                <w:szCs w:val="19"/>
                <w:color w:val="283548"/>
              </w:rPr>
              <w:t xml:space="preserve">Consistent daily outreach, refine opener, ask for feedback.</w:t>
            </w:r>
          </w:p>
        </w:tc>
      </w:tr>
      <w:tr>
        <w:tc>
          <w:tcPr>
            <w:tcW w:w="1690" w:type="dxa"/>
            <w:vAlign w:val="center"/>
          </w:tcPr>
          <w:p>
            <w:pPr>
              <w:spacing w:after="40" w:line="280" w:lineRule="auto"/>
            </w:pPr>
            <w:r>
              <w:rPr>
                <w:rFonts w:ascii="Calibri" w:hAnsi="Calibri"/>
                <w:sz w:val="19"/>
                <w:szCs w:val="19"/>
                <w:color w:val="283548"/>
              </w:rPr>
              <w:t xml:space="preserve">Days 61–90</w:t>
            </w:r>
          </w:p>
        </w:tc>
        <w:tc>
          <w:tcPr>
            <w:tcW w:w="1950" w:type="dxa"/>
            <w:vAlign w:val="center"/>
          </w:tcPr>
          <w:p>
            <w:pPr>
              <w:spacing w:after="40" w:line="280" w:lineRule="auto"/>
            </w:pPr>
            <w:r>
              <w:rPr>
                <w:rFonts w:ascii="Calibri" w:hAnsi="Calibri"/>
                <w:sz w:val="19"/>
                <w:szCs w:val="19"/>
                <w:color w:val="283548"/>
              </w:rPr>
              <w:t xml:space="preserve">Improve results</w:t>
            </w:r>
          </w:p>
        </w:tc>
        <w:tc>
          <w:tcPr>
            <w:tcW w:w="5720" w:type="dxa"/>
            <w:vAlign w:val="center"/>
          </w:tcPr>
          <w:p>
            <w:pPr>
              <w:spacing w:after="40" w:line="280" w:lineRule="auto"/>
            </w:pPr>
            <w:r>
              <w:rPr>
                <w:rFonts w:ascii="Calibri" w:hAnsi="Calibri"/>
                <w:sz w:val="19"/>
                <w:szCs w:val="19"/>
                <w:color w:val="283548"/>
              </w:rPr>
              <w:t xml:space="preserve">Raise quality, book meetings, review what is working.</w:t>
            </w:r>
          </w:p>
        </w:tc>
      </w:tr>
    </w:tbl>
    <w:p>
      <w:pPr>
        <w:spacing w:after="80"/>
      </w:pPr>
      <w:r>
        <w:rPr>
          <w:rFonts w:ascii="Calibri" w:hAnsi="Calibri"/>
        </w:rPr>
        <w:t xml:space="preserve"/>
      </w:r>
    </w:p>
    <w:p>
      <w:pPr>
        <w:pStyle w:val="Heading1"/>
        <w:keepNext/>
      </w:pPr>
      <w:r>
        <w:rPr>
          <w:rFonts w:ascii="Calibri" w:hAnsi="Calibri"/>
        </w:rPr>
        <w:t xml:space="preserve">Draft your version</w:t>
      </w:r>
    </w:p>
    <w:p>
      <w:pPr>
        <w:numPr>
          <w:ilvl w:val="0"/>
          <w:numId w:val="1"/>
        </w:numPr>
        <w:spacing w:after="80" w:line="300" w:lineRule="auto"/>
      </w:pPr>
      <w:r>
        <w:rPr>
          <w:rFonts w:ascii="Calibri" w:hAnsi="Calibri"/>
          <w:sz w:val="22"/>
          <w:szCs w:val="22"/>
          <w:color w:val="283548"/>
        </w:rPr>
        <w:t xml:space="preserve">One learning goal for the first 30 days: ______________________________</w:t>
      </w:r>
    </w:p>
    <w:p>
      <w:pPr>
        <w:numPr>
          <w:ilvl w:val="0"/>
          <w:numId w:val="1"/>
        </w:numPr>
        <w:spacing w:after="80" w:line="300" w:lineRule="auto"/>
      </w:pPr>
      <w:r>
        <w:rPr>
          <w:rFonts w:ascii="Calibri" w:hAnsi="Calibri"/>
          <w:sz w:val="22"/>
          <w:szCs w:val="22"/>
          <w:color w:val="283548"/>
        </w:rPr>
        <w:t xml:space="preserve">One activity habit for days 31–60: ______________________________</w:t>
      </w:r>
    </w:p>
    <w:p>
      <w:pPr>
        <w:numPr>
          <w:ilvl w:val="0"/>
          <w:numId w:val="1"/>
        </w:numPr>
        <w:spacing w:after="80" w:line="300" w:lineRule="auto"/>
      </w:pPr>
      <w:r>
        <w:rPr>
          <w:rFonts w:ascii="Calibri" w:hAnsi="Calibri"/>
          <w:sz w:val="22"/>
          <w:szCs w:val="22"/>
          <w:color w:val="283548"/>
        </w:rPr>
        <w:t xml:space="preserve">One quality or results goal for days 61–90: ______________________________</w:t>
      </w:r>
    </w:p>
    <w:p>
      <w:pPr>
        <w:numPr>
          <w:ilvl w:val="0"/>
          <w:numId w:val="1"/>
        </w:numPr>
        <w:spacing w:after="80" w:line="300" w:lineRule="auto"/>
      </w:pPr>
      <w:r>
        <w:rPr>
          <w:rFonts w:ascii="Calibri" w:hAnsi="Calibri"/>
          <w:sz w:val="22"/>
          <w:szCs w:val="22"/>
          <w:color w:val="283548"/>
        </w:rPr>
        <w:t xml:space="preserve">How you will ask for and use feedback throughout: ______________________________</w:t>
      </w:r>
    </w:p>
    <w:p>
      <w:pPr>
        <w:pStyle w:val="Heading1"/>
        <w:keepNext/>
      </w:pPr>
      <w:r>
        <w:rPr>
          <w:rFonts w:ascii="Calibri" w:hAnsi="Calibri"/>
        </w:rPr>
        <w:t xml:space="preserve">Professional standard</w:t>
      </w:r>
    </w:p>
    <w:p>
      <w:pPr>
        <w:spacing w:after="120" w:line="300" w:lineRule="auto"/>
      </w:pPr>
      <w:r>
        <w:rPr>
          <w:rFonts w:ascii="Calibri" w:hAnsi="Calibri"/>
          <w:sz w:val="22"/>
          <w:szCs w:val="22"/>
          <w:color w:val="283548"/>
        </w:rPr>
        <w:t xml:space="preserve">Professional interview preparation connects honest evidence to the employer's real requirements. Answers should be structured enough to follow, flexible enough for dialogue, and precise about what you personally did and learned.</w:t>
      </w:r>
    </w:p>
    <w:p>
      <w:pPr>
        <w:pStyle w:val="Heading1"/>
        <w:keepNext/>
      </w:pPr>
      <w:r>
        <w:rPr>
          <w:rFonts w:ascii="Calibri" w:hAnsi="Calibri"/>
        </w:rPr>
        <w:t xml:space="preserve">Professional workflow</w:t>
      </w:r>
    </w:p>
    <w:p>
      <w:pPr>
        <w:numPr>
          <w:ilvl w:val="0"/>
          <w:numId w:val="2"/>
        </w:numPr>
        <w:spacing w:after="80" w:line="300" w:lineRule="auto"/>
      </w:pPr>
      <w:r>
        <w:rPr>
          <w:rFonts w:ascii="Calibri" w:hAnsi="Calibri"/>
          <w:sz w:val="22"/>
          <w:szCs w:val="22"/>
          <w:color w:val="283548"/>
        </w:rPr>
        <w:t xml:space="preserve">Study the job description and company before completing the resource. Match your preparation to the actual role rather than a generic sales interview.</w:t>
      </w:r>
    </w:p>
    <w:p>
      <w:pPr>
        <w:numPr>
          <w:ilvl w:val="0"/>
          <w:numId w:val="2"/>
        </w:numPr>
        <w:spacing w:after="80" w:line="300" w:lineRule="auto"/>
      </w:pPr>
      <w:r>
        <w:rPr>
          <w:rFonts w:ascii="Calibri" w:hAnsi="Calibri"/>
          <w:sz w:val="22"/>
          <w:szCs w:val="22"/>
          <w:color w:val="283548"/>
        </w:rPr>
        <w:t xml:space="preserve">Build answers from real evidence: work, study, volunteering, projects, or deliberate practice. Label estimates honestly and never invent experience.</w:t>
      </w:r>
    </w:p>
    <w:p>
      <w:pPr>
        <w:numPr>
          <w:ilvl w:val="0"/>
          <w:numId w:val="2"/>
        </w:numPr>
        <w:spacing w:after="80" w:line="300" w:lineRule="auto"/>
      </w:pPr>
      <w:r>
        <w:rPr>
          <w:rFonts w:ascii="Calibri" w:hAnsi="Calibri"/>
          <w:sz w:val="22"/>
          <w:szCs w:val="22"/>
          <w:color w:val="283548"/>
        </w:rPr>
        <w:t xml:space="preserve">Practise aloud with a timer, then repeat with a follow-up question or interruption. Strong answers stay clear when the conversation changes.</w:t>
      </w:r>
    </w:p>
    <w:p>
      <w:pPr>
        <w:numPr>
          <w:ilvl w:val="0"/>
          <w:numId w:val="2"/>
        </w:numPr>
        <w:spacing w:after="80" w:line="300" w:lineRule="auto"/>
      </w:pPr>
      <w:r>
        <w:rPr>
          <w:rFonts w:ascii="Calibri" w:hAnsi="Calibri"/>
          <w:sz w:val="22"/>
          <w:szCs w:val="22"/>
          <w:color w:val="283548"/>
        </w:rPr>
        <w:t xml:space="preserve">Ask a reviewer or the AI Coach to score clarity, evidence, relevance, and concision. Convert broad feedback into one specific revision.</w:t>
      </w:r>
    </w:p>
    <w:p>
      <w:pPr>
        <w:numPr>
          <w:ilvl w:val="0"/>
          <w:numId w:val="2"/>
        </w:numPr>
        <w:spacing w:after="80" w:line="300" w:lineRule="auto"/>
      </w:pPr>
      <w:r>
        <w:rPr>
          <w:rFonts w:ascii="Calibri" w:hAnsi="Calibri"/>
          <w:sz w:val="22"/>
          <w:szCs w:val="22"/>
          <w:color w:val="283548"/>
        </w:rPr>
        <w:t xml:space="preserve">Prepare a concise version and a fuller version of each answer. Use the concise version first and add detail only when the interviewer asks.</w:t>
      </w:r>
    </w:p>
    <w:p>
      <w:pPr>
        <w:pStyle w:val="Heading1"/>
        <w:keepNext/>
      </w:pPr>
      <w:r>
        <w:rPr>
          <w:rFonts w:ascii="Calibri" w:hAnsi="Calibri"/>
        </w:rPr>
        <w:t xml:space="preserve">Quality-control review</w:t>
      </w:r>
    </w:p>
    <w:tbl>
      <w:tblPr>
        <w:tblW w:w="9360" w:type="dxa"/>
        <w:tblInd w:w="120" w:type="dxa"/>
        <w:tblLayout w:type="fixed"/>
        <w:tblCellMar>
          <w:top w:w="100" w:type="dxa"/>
          <w:left w:w="120" w:type="dxa"/>
          <w:bottom w:w="100" w:type="dxa"/>
          <w:right w:w="120" w:type="dxa"/>
        </w:tblCellMar>
        <w:tblBorders>
          <w:top w:val="single" w:sz="4" w:color="D9DEE7"/>
          <w:left w:val="single" w:sz="4" w:color="D9DEE7"/>
          <w:bottom w:val="single" w:sz="4" w:color="D9DEE7"/>
          <w:right w:val="single" w:sz="4" w:color="D9DEE7"/>
          <w:insideH w:val="single" w:sz="4" w:color="D9DEE7"/>
          <w:insideV w:val="single" w:sz="4" w:color="D9DEE7"/>
        </w:tblBorders>
      </w:tblPr>
      <w:tblGrid>
        <w:gridCol w:w="1200"/>
        <w:gridCol w:w="4118"/>
        <w:gridCol w:w="4042"/>
      </w:tblGrid>
      <w:tr>
        <w:trPr>
          <w:tblHeader/>
        </w:trPr>
        <w:tc>
          <w:tcPr>
            <w:tcW w:w="1200" w:type="dxa"/>
            <w:vAlign w:val="center"/>
            <w:shd w:val="clear" w:color="auto" w:fill="FFF3C4"/>
          </w:tcPr>
          <w:p>
            <w:pPr>
              <w:spacing w:after="40" w:line="280" w:lineRule="auto"/>
            </w:pPr>
            <w:r>
              <w:rPr>
                <w:rFonts w:ascii="Calibri" w:hAnsi="Calibri"/>
                <w:b/>
                <w:sz w:val="19"/>
                <w:szCs w:val="19"/>
                <w:color w:val="6B4F00"/>
              </w:rPr>
              <w:t xml:space="preserve">Review point</w:t>
            </w:r>
          </w:p>
        </w:tc>
        <w:tc>
          <w:tcPr>
            <w:tcW w:w="4118" w:type="dxa"/>
            <w:vAlign w:val="center"/>
            <w:shd w:val="clear" w:color="auto" w:fill="FFF3C4"/>
          </w:tcPr>
          <w:p>
            <w:pPr>
              <w:spacing w:after="40" w:line="280" w:lineRule="auto"/>
            </w:pPr>
            <w:r>
              <w:rPr>
                <w:rFonts w:ascii="Calibri" w:hAnsi="Calibri"/>
                <w:b/>
                <w:sz w:val="19"/>
                <w:szCs w:val="19"/>
                <w:color w:val="6B4F00"/>
              </w:rPr>
              <w:t xml:space="preserve">Professional standard</w:t>
            </w:r>
          </w:p>
        </w:tc>
        <w:tc>
          <w:tcPr>
            <w:tcW w:w="4042" w:type="dxa"/>
            <w:vAlign w:val="center"/>
            <w:shd w:val="clear" w:color="auto" w:fill="FFF3C4"/>
          </w:tcPr>
          <w:p>
            <w:pPr>
              <w:spacing w:after="40" w:line="280" w:lineRule="auto"/>
            </w:pPr>
            <w:r>
              <w:rPr>
                <w:rFonts w:ascii="Calibri" w:hAnsi="Calibri"/>
                <w:b/>
                <w:sz w:val="19"/>
                <w:szCs w:val="19"/>
                <w:color w:val="6B4F00"/>
              </w:rPr>
              <w:t xml:space="preserve">Warning sign</w:t>
            </w:r>
          </w:p>
        </w:tc>
      </w:tr>
      <w:tr>
        <w:tc>
          <w:tcPr>
            <w:tcW w:w="1200" w:type="dxa"/>
            <w:vAlign w:val="center"/>
          </w:tcPr>
          <w:p>
            <w:pPr>
              <w:spacing w:after="40" w:line="280" w:lineRule="auto"/>
            </w:pPr>
            <w:r>
              <w:rPr>
                <w:rFonts w:ascii="Calibri" w:hAnsi="Calibri"/>
                <w:sz w:val="19"/>
                <w:szCs w:val="19"/>
                <w:color w:val="283548"/>
              </w:rPr>
              <w:t xml:space="preserve">Relevance</w:t>
            </w:r>
          </w:p>
        </w:tc>
        <w:tc>
          <w:tcPr>
            <w:tcW w:w="4118" w:type="dxa"/>
            <w:vAlign w:val="center"/>
          </w:tcPr>
          <w:p>
            <w:pPr>
              <w:spacing w:after="40" w:line="280" w:lineRule="auto"/>
            </w:pPr>
            <w:r>
              <w:rPr>
                <w:rFonts w:ascii="Calibri" w:hAnsi="Calibri"/>
                <w:sz w:val="19"/>
                <w:szCs w:val="19"/>
                <w:color w:val="283548"/>
              </w:rPr>
              <w:t xml:space="preserve">The answer addresses the role requirement and the exact question asked.</w:t>
            </w:r>
          </w:p>
        </w:tc>
        <w:tc>
          <w:tcPr>
            <w:tcW w:w="4042" w:type="dxa"/>
            <w:vAlign w:val="center"/>
          </w:tcPr>
          <w:p>
            <w:pPr>
              <w:spacing w:after="40" w:line="280" w:lineRule="auto"/>
            </w:pPr>
            <w:r>
              <w:rPr>
                <w:rFonts w:ascii="Calibri" w:hAnsi="Calibri"/>
                <w:sz w:val="19"/>
                <w:szCs w:val="19"/>
                <w:color w:val="283548"/>
              </w:rPr>
              <w:t xml:space="preserve">A polished story is used even when it does not answer the question.</w:t>
            </w:r>
          </w:p>
        </w:tc>
      </w:tr>
      <w:tr>
        <w:tc>
          <w:tcPr>
            <w:tcW w:w="1200" w:type="dxa"/>
            <w:vAlign w:val="center"/>
          </w:tcPr>
          <w:p>
            <w:pPr>
              <w:spacing w:after="40" w:line="280" w:lineRule="auto"/>
            </w:pPr>
            <w:r>
              <w:rPr>
                <w:rFonts w:ascii="Calibri" w:hAnsi="Calibri"/>
                <w:sz w:val="19"/>
                <w:szCs w:val="19"/>
                <w:color w:val="283548"/>
              </w:rPr>
              <w:t xml:space="preserve">Evidence</w:t>
            </w:r>
          </w:p>
        </w:tc>
        <w:tc>
          <w:tcPr>
            <w:tcW w:w="4118" w:type="dxa"/>
            <w:vAlign w:val="center"/>
          </w:tcPr>
          <w:p>
            <w:pPr>
              <w:spacing w:after="40" w:line="280" w:lineRule="auto"/>
            </w:pPr>
            <w:r>
              <w:rPr>
                <w:rFonts w:ascii="Calibri" w:hAnsi="Calibri"/>
                <w:sz w:val="19"/>
                <w:szCs w:val="19"/>
                <w:color w:val="283548"/>
              </w:rPr>
              <w:t xml:space="preserve">Actions, decisions, and results are specific and attributable.</w:t>
            </w:r>
          </w:p>
        </w:tc>
        <w:tc>
          <w:tcPr>
            <w:tcW w:w="4042" w:type="dxa"/>
            <w:vAlign w:val="center"/>
          </w:tcPr>
          <w:p>
            <w:pPr>
              <w:spacing w:after="40" w:line="280" w:lineRule="auto"/>
            </w:pPr>
            <w:r>
              <w:rPr>
                <w:rFonts w:ascii="Calibri" w:hAnsi="Calibri"/>
                <w:sz w:val="19"/>
                <w:szCs w:val="19"/>
                <w:color w:val="283548"/>
              </w:rPr>
              <w:t xml:space="preserve">Team outcomes are claimed as personal achievements.</w:t>
            </w:r>
          </w:p>
        </w:tc>
      </w:tr>
      <w:tr>
        <w:tc>
          <w:tcPr>
            <w:tcW w:w="1200" w:type="dxa"/>
            <w:vAlign w:val="center"/>
          </w:tcPr>
          <w:p>
            <w:pPr>
              <w:spacing w:after="40" w:line="280" w:lineRule="auto"/>
            </w:pPr>
            <w:r>
              <w:rPr>
                <w:rFonts w:ascii="Calibri" w:hAnsi="Calibri"/>
                <w:sz w:val="19"/>
                <w:szCs w:val="19"/>
                <w:color w:val="283548"/>
              </w:rPr>
              <w:t xml:space="preserve">Structure</w:t>
            </w:r>
          </w:p>
        </w:tc>
        <w:tc>
          <w:tcPr>
            <w:tcW w:w="4118" w:type="dxa"/>
            <w:vAlign w:val="center"/>
          </w:tcPr>
          <w:p>
            <w:pPr>
              <w:spacing w:after="40" w:line="280" w:lineRule="auto"/>
            </w:pPr>
            <w:r>
              <w:rPr>
                <w:rFonts w:ascii="Calibri" w:hAnsi="Calibri"/>
                <w:sz w:val="19"/>
                <w:szCs w:val="19"/>
                <w:color w:val="283548"/>
              </w:rPr>
              <w:t xml:space="preserve">The answer has a clear beginning, evidence, and conclusion.</w:t>
            </w:r>
          </w:p>
        </w:tc>
        <w:tc>
          <w:tcPr>
            <w:tcW w:w="4042" w:type="dxa"/>
            <w:vAlign w:val="center"/>
          </w:tcPr>
          <w:p>
            <w:pPr>
              <w:spacing w:after="40" w:line="280" w:lineRule="auto"/>
            </w:pPr>
            <w:r>
              <w:rPr>
                <w:rFonts w:ascii="Calibri" w:hAnsi="Calibri"/>
                <w:sz w:val="19"/>
                <w:szCs w:val="19"/>
                <w:color w:val="283548"/>
              </w:rPr>
              <w:t xml:space="preserve">Context expands while the important action remains vague.</w:t>
            </w:r>
          </w:p>
        </w:tc>
      </w:tr>
      <w:tr>
        <w:tc>
          <w:tcPr>
            <w:tcW w:w="1200" w:type="dxa"/>
            <w:vAlign w:val="center"/>
          </w:tcPr>
          <w:p>
            <w:pPr>
              <w:spacing w:after="40" w:line="280" w:lineRule="auto"/>
            </w:pPr>
            <w:r>
              <w:rPr>
                <w:rFonts w:ascii="Calibri" w:hAnsi="Calibri"/>
                <w:sz w:val="19"/>
                <w:szCs w:val="19"/>
                <w:color w:val="283548"/>
              </w:rPr>
              <w:t xml:space="preserve">Reflection</w:t>
            </w:r>
          </w:p>
        </w:tc>
        <w:tc>
          <w:tcPr>
            <w:tcW w:w="4118" w:type="dxa"/>
            <w:vAlign w:val="center"/>
          </w:tcPr>
          <w:p>
            <w:pPr>
              <w:spacing w:after="40" w:line="280" w:lineRule="auto"/>
            </w:pPr>
            <w:r>
              <w:rPr>
                <w:rFonts w:ascii="Calibri" w:hAnsi="Calibri"/>
                <w:sz w:val="19"/>
                <w:szCs w:val="19"/>
                <w:color w:val="283548"/>
              </w:rPr>
              <w:t xml:space="preserve">Learning and future application are stated honestly.</w:t>
            </w:r>
          </w:p>
        </w:tc>
        <w:tc>
          <w:tcPr>
            <w:tcW w:w="4042" w:type="dxa"/>
            <w:vAlign w:val="center"/>
          </w:tcPr>
          <w:p>
            <w:pPr>
              <w:spacing w:after="40" w:line="280" w:lineRule="auto"/>
            </w:pPr>
            <w:r>
              <w:rPr>
                <w:rFonts w:ascii="Calibri" w:hAnsi="Calibri"/>
                <w:sz w:val="19"/>
                <w:szCs w:val="19"/>
                <w:color w:val="283548"/>
              </w:rPr>
              <w:t xml:space="preserve">The answer ends with a result but shows no self-awareness.</w:t>
            </w:r>
          </w:p>
        </w:tc>
      </w:tr>
    </w:tbl>
    <w:p>
      <w:pPr>
        <w:spacing w:after="80"/>
      </w:pPr>
      <w:r>
        <w:rPr>
          <w:rFonts w:ascii="Calibri" w:hAnsi="Calibri"/>
        </w:rPr>
        <w:t xml:space="preserve"/>
      </w:r>
    </w:p>
    <w:p>
      <w:pPr>
        <w:pStyle w:val="Heading1"/>
        <w:keepNext/>
      </w:pPr>
      <w:r>
        <w:rPr>
          <w:rFonts w:ascii="Calibri" w:hAnsi="Calibri"/>
        </w:rPr>
        <w:t xml:space="preserve">Evidence and improvement signals</w:t>
      </w:r>
    </w:p>
    <w:p>
      <w:pPr>
        <w:numPr>
          <w:ilvl w:val="0"/>
          <w:numId w:val="1"/>
        </w:numPr>
        <w:spacing w:after="80" w:line="300" w:lineRule="auto"/>
      </w:pPr>
      <w:r>
        <w:rPr>
          <w:rFonts w:ascii="Calibri" w:hAnsi="Calibri"/>
          <w:sz w:val="22"/>
          <w:szCs w:val="22"/>
          <w:color w:val="283548"/>
        </w:rPr>
        <w:t xml:space="preserve">Time both a 60-90 second version and a fuller two-minute version of key answers.</w:t>
      </w:r>
    </w:p>
    <w:p>
      <w:pPr>
        <w:numPr>
          <w:ilvl w:val="0"/>
          <w:numId w:val="1"/>
        </w:numPr>
        <w:spacing w:after="80" w:line="300" w:lineRule="auto"/>
      </w:pPr>
      <w:r>
        <w:rPr>
          <w:rFonts w:ascii="Calibri" w:hAnsi="Calibri"/>
          <w:sz w:val="22"/>
          <w:szCs w:val="22"/>
          <w:color w:val="283548"/>
        </w:rPr>
        <w:t xml:space="preserve">Map every prepared example to the job requirement it supports.</w:t>
      </w:r>
    </w:p>
    <w:p>
      <w:pPr>
        <w:numPr>
          <w:ilvl w:val="0"/>
          <w:numId w:val="1"/>
        </w:numPr>
        <w:spacing w:after="80" w:line="300" w:lineRule="auto"/>
      </w:pPr>
      <w:r>
        <w:rPr>
          <w:rFonts w:ascii="Calibri" w:hAnsi="Calibri"/>
          <w:sz w:val="22"/>
          <w:szCs w:val="22"/>
          <w:color w:val="283548"/>
        </w:rPr>
        <w:t xml:space="preserve">Record follow-up questions you struggled with and strengthen the underlying evidence.</w:t>
      </w:r>
    </w:p>
    <w:p>
      <w:pPr>
        <w:numPr>
          <w:ilvl w:val="0"/>
          <w:numId w:val="1"/>
        </w:numPr>
        <w:spacing w:after="80" w:line="300" w:lineRule="auto"/>
      </w:pPr>
      <w:r>
        <w:rPr>
          <w:rFonts w:ascii="Calibri" w:hAnsi="Calibri"/>
          <w:sz w:val="22"/>
          <w:szCs w:val="22"/>
          <w:color w:val="283548"/>
        </w:rPr>
        <w:t xml:space="preserve">Review accuracy, clarity, and relevance before trying to sound more impressive.</w:t>
      </w:r>
    </w:p>
    <w:p>
      <w:pPr>
        <w:pStyle w:val="Heading1"/>
        <w:keepNext/>
      </w:pPr>
      <w:r>
        <w:rPr>
          <w:rFonts w:ascii="Calibri" w:hAnsi="Calibri"/>
        </w:rPr>
        <w:t xml:space="preserve">Worked example (30-day goal)</w:t>
      </w:r>
    </w:p>
    <w:p>
      <w:pPr>
        <w:spacing w:after="120" w:line="300" w:lineRule="auto"/>
      </w:pPr>
      <w:r>
        <w:rPr>
          <w:rFonts w:ascii="Calibri" w:hAnsi="Calibri"/>
          <w:sz w:val="22"/>
          <w:szCs w:val="22"/>
          <w:color w:val="283548"/>
        </w:rPr>
        <w:t xml:space="preserve">"In my first 30 days I want to know the product well enough to explain the top three problems it solves in plain language, and to have completed a set of practice calls with feedback." Modest, specific, and focused on learning — exactly what a hiring manager hopes to hear.</w:t>
      </w:r>
    </w:p>
    <w:p>
      <w:pPr>
        <w:pStyle w:val="Heading1"/>
        <w:keepNext/>
      </w:pPr>
      <w:r>
        <w:rPr>
          <w:rFonts w:ascii="Calibri" w:hAnsi="Calibri"/>
        </w:rPr>
        <w:t xml:space="preserve">Safe-practice note</w:t>
      </w:r>
    </w:p>
    <w:p>
      <w:pPr>
        <w:spacing w:after="120" w:line="300" w:lineRule="auto"/>
      </w:pPr>
      <w:r>
        <w:rPr>
          <w:rFonts w:ascii="Calibri" w:hAnsi="Calibri"/>
          <w:sz w:val="22"/>
          <w:szCs w:val="22"/>
          <w:color w:val="283548"/>
        </w:rPr>
        <w:t xml:space="preserve">Keep early targets realistic; over-promising specific numbers you cannot control can backfire. Frame the plan around learning and effort, which you can control, rather than guaranteed results. Adjust it to the actual role.</w:t>
      </w:r>
    </w:p>
    <w:p>
      <w:pPr>
        <w:spacing w:before="240" w:after="40"/>
      </w:pPr>
      <w:r>
        <w:rPr>
          <w:rFonts w:ascii="Calibri" w:hAnsi="Calibri"/>
          <w:sz w:val="17"/>
          <w:szCs w:val="17"/>
          <w:color w:val="7B8494"/>
        </w:rPr>
        <w:t xml:space="preserve">Last reviewed: 2026-07-28 | AmplifyHub Practical Resource Library</w:t>
      </w:r>
    </w:p>
    <w:sectPr>
      <w:headerReference w:type="default" r:id="rId3"/>
      <w:footerReference w:type="default" r:id="rId4"/>
      <w:pgSz w:w="12240" w:h="15840"/>
      <w:pgMar w:top="1440" w:right="1440" w:bottom="1440" w:left="1440" w:header="708" w:footer="708" w:gutter="0"/>
    </w:sectPr>
  </w:body>
</w:document>
</file>

<file path=word/footer1.xml><?xml version="1.0" encoding="utf-8"?>
<w:ftr xmlns:w="http://schemas.openxmlformats.org/wordprocessingml/2006/main">
  <w:p>
    <w:pPr>
      <w:jc w:val="right"/>
    </w:pPr>
    <w:r>
      <w:rPr>
        <w:color w:val="7B8494"/>
        <w:sz w:val="16"/>
      </w:rPr>
      <w:t>AmplifyHub  |  Page </w:t>
    </w:r>
    <w:fldSimple w:instr="PAGE">
      <w:r>
        <w:rPr>
          <w:color w:val="7B8494"/>
          <w:sz w:val="16"/>
        </w:rPr>
        <w:t>1</w:t>
      </w:r>
    </w:fldSimple>
  </w:p>
</w:ftr>
</file>

<file path=word/header1.xml><?xml version="1.0" encoding="utf-8"?>
<w:hdr xmlns:w="http://schemas.openxmlformats.org/wordprocessingml/2006/main">
  <w:p>
    <w:pPr>
      <w:spacing w:after="40"/>
    </w:pPr>
    <w:r>
      <w:rPr>
        <w:rFonts w:ascii="Calibri" w:hAnsi="Calibri"/>
        <w:b/>
        <w:sz w:val="16"/>
        <w:szCs w:val="16"/>
        <w:color w:val="8A6200"/>
      </w:rPr>
      <w:t xml:space="preserve">AMPLIFYHUB  |  PRACTICAL RESOURCE LIBRARY</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
    <w:multiLevelType w:val="singleLevel"/>
    <w:lvl w:ilvl="0">
      <w:start w:val="1"/>
      <w:numFmt w:val="decimal"/>
      <w:lvlText w:val="%1."/>
      <w:lvlJc w:val="left"/>
      <w:pPr>
        <w:tabs>
          <w:tab w:val="num" w:pos="540"/>
        </w:tabs>
        <w:ind w:left="540" w:hanging="270"/>
        <w:spacing w:after="80" w:line="300" w:lineRule="auto"/>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pPrDefault>
      <w:pPr>
        <w:spacing w:after="120" w:line="300" w:lineRule="auto"/>
      </w:pPr>
    </w:pPrDefault>
  </w:docDefaults>
  <w:style w:type="paragraph" w:default="1" w:styleId="Normal">
    <w:name w:val="Normal"/>
    <w:pPr>
      <w:spacing w:after="120" w:line="300" w:lineRule="auto"/>
    </w:pPr>
    <w:rPr>
      <w:rFonts w:ascii="Calibri" w:hAnsi="Calibri"/>
      <w:sz w:val="22"/>
      <w:color w:val="283548"/>
    </w:rPr>
  </w:style>
  <w:style w:type="paragraph" w:styleId="Title">
    <w:name w:val="Title"/>
    <w:pPr>
      <w:keepNext/>
      <w:spacing w:after="120"/>
    </w:pPr>
    <w:rPr>
      <w:rFonts w:ascii="Calibri" w:hAnsi="Calibri"/>
      <w:b/>
      <w:sz w:val="56"/>
      <w:color w:val="172033"/>
    </w:rPr>
  </w:style>
  <w:style w:type="paragraph" w:styleId="Heading1">
    <w:name w:val="Heading 1"/>
    <w:pPr>
      <w:keepNext/>
      <w:spacing w:before="280" w:after="140"/>
    </w:pPr>
    <w:rPr>
      <w:rFonts w:ascii="Calibri" w:hAnsi="Calibri"/>
      <w:b/>
      <w:sz w:val="30"/>
      <w:color w:val="8A620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s>
</file>