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rPr>
          <w:rFonts w:ascii="Calibri" w:hAnsi="Calibri"/>
        </w:rPr>
        <w:t xml:space="preserve">Cold-Call Audition Preparation</w:t>
      </w:r>
    </w:p>
    <w:p>
      <w:pPr>
        <w:spacing w:after="100"/>
      </w:pPr>
      <w:r>
        <w:rPr>
          <w:rFonts w:ascii="Calibri" w:hAnsi="Calibri"/>
          <w:b/>
          <w:sz w:val="18"/>
          <w:szCs w:val="18"/>
          <w:color w:val="6B7280"/>
        </w:rPr>
        <w:t xml:space="preserve">INTERVIEW PREP | SKILL: INTERVIEW | DIFFICULTY: INTERMEDIATE | EST. 15 MIN</w:t>
      </w:r>
    </w:p>
    <w:p>
      <w:pPr>
        <w:spacing w:before="40" w:after="160"/>
        <w:shd w:val="clear" w:color="auto" w:fill="EAF7EF"/>
        <w:ind w:left="160"/>
      </w:pPr>
      <w:r>
        <w:rPr>
          <w:rFonts w:ascii="Calibri" w:hAnsi="Calibri"/>
          <w:b/>
          <w:sz w:val="18"/>
          <w:szCs w:val="18"/>
          <w:color w:val="166534"/>
        </w:rPr>
        <w:t xml:space="preserve">Reviewed professional resource - AmplifyHub Practical Resource Library</w:t>
      </w:r>
    </w:p>
    <w:p>
      <w:pPr>
        <w:pStyle w:val="Heading1"/>
        <w:keepNext/>
      </w:pPr>
      <w:r>
        <w:rPr>
          <w:rFonts w:ascii="Calibri" w:hAnsi="Calibri"/>
        </w:rPr>
        <w:t xml:space="preserve">Overview</w:t>
      </w:r>
    </w:p>
    <w:p>
      <w:pPr>
        <w:spacing w:after="120" w:line="300" w:lineRule="auto"/>
      </w:pPr>
      <w:r>
        <w:rPr>
          <w:rFonts w:ascii="Calibri" w:hAnsi="Calibri"/>
          <w:sz w:val="22"/>
          <w:szCs w:val="22"/>
          <w:color w:val="283548"/>
        </w:rPr>
        <w:t xml:space="preserve">Preparation for the live mock cold call many SDR interviews include: what they are assessing, how to prepare an adaptable opener, and how to stay composed when the "prospect" pushes back.</w:t>
      </w:r>
    </w:p>
    <w:p>
      <w:pPr>
        <w:pStyle w:val="Heading1"/>
        <w:keepNext/>
      </w:pPr>
      <w:r>
        <w:rPr>
          <w:rFonts w:ascii="Calibri" w:hAnsi="Calibri"/>
        </w:rPr>
        <w:t xml:space="preserve">Learning objectives</w:t>
      </w:r>
    </w:p>
    <w:p>
      <w:pPr>
        <w:numPr>
          <w:ilvl w:val="0"/>
          <w:numId w:val="1"/>
        </w:numPr>
        <w:spacing w:after="80" w:line="300" w:lineRule="auto"/>
      </w:pPr>
      <w:r>
        <w:rPr>
          <w:rFonts w:ascii="Calibri" w:hAnsi="Calibri"/>
          <w:sz w:val="22"/>
          <w:szCs w:val="22"/>
          <w:color w:val="283548"/>
        </w:rPr>
        <w:t xml:space="preserve">Understand what a mock-call assessor looks for</w:t>
      </w:r>
    </w:p>
    <w:p>
      <w:pPr>
        <w:numPr>
          <w:ilvl w:val="0"/>
          <w:numId w:val="1"/>
        </w:numPr>
        <w:spacing w:after="80" w:line="300" w:lineRule="auto"/>
      </w:pPr>
      <w:r>
        <w:rPr>
          <w:rFonts w:ascii="Calibri" w:hAnsi="Calibri"/>
          <w:sz w:val="22"/>
          <w:szCs w:val="22"/>
          <w:color w:val="283548"/>
        </w:rPr>
        <w:t xml:space="preserve">Prepare an adaptable opener and one question</w:t>
      </w:r>
    </w:p>
    <w:p>
      <w:pPr>
        <w:numPr>
          <w:ilvl w:val="0"/>
          <w:numId w:val="1"/>
        </w:numPr>
        <w:spacing w:after="80" w:line="300" w:lineRule="auto"/>
      </w:pPr>
      <w:r>
        <w:rPr>
          <w:rFonts w:ascii="Calibri" w:hAnsi="Calibri"/>
          <w:sz w:val="22"/>
          <w:szCs w:val="22"/>
          <w:color w:val="283548"/>
        </w:rPr>
        <w:t xml:space="preserve">Stay calm through an objection</w:t>
      </w:r>
    </w:p>
    <w:p>
      <w:pPr>
        <w:numPr>
          <w:ilvl w:val="0"/>
          <w:numId w:val="1"/>
        </w:numPr>
        <w:spacing w:after="80" w:line="300" w:lineRule="auto"/>
      </w:pPr>
      <w:r>
        <w:rPr>
          <w:rFonts w:ascii="Calibri" w:hAnsi="Calibri"/>
          <w:sz w:val="22"/>
          <w:szCs w:val="22"/>
          <w:color w:val="283548"/>
        </w:rPr>
        <w:t xml:space="preserve">Debrief your own performance honestly</w:t>
      </w:r>
    </w:p>
    <w:p>
      <w:pPr>
        <w:pStyle w:val="Heading1"/>
        <w:keepNext/>
      </w:pPr>
      <w:r>
        <w:rPr>
          <w:rFonts w:ascii="Calibri" w:hAnsi="Calibri"/>
        </w:rPr>
        <w:t xml:space="preserve">What they usually assess</w:t>
      </w:r>
    </w:p>
    <w:p>
      <w:pPr>
        <w:numPr>
          <w:ilvl w:val="0"/>
          <w:numId w:val="1"/>
        </w:numPr>
        <w:spacing w:after="80" w:line="300" w:lineRule="auto"/>
      </w:pPr>
      <w:r>
        <w:rPr>
          <w:rFonts w:ascii="Calibri" w:hAnsi="Calibri"/>
          <w:sz w:val="22"/>
          <w:szCs w:val="22"/>
          <w:color w:val="283548"/>
        </w:rPr>
        <w:t xml:space="preserve">Can you open clearly and get to the point?</w:t>
      </w:r>
    </w:p>
    <w:p>
      <w:pPr>
        <w:numPr>
          <w:ilvl w:val="0"/>
          <w:numId w:val="1"/>
        </w:numPr>
        <w:spacing w:after="80" w:line="300" w:lineRule="auto"/>
      </w:pPr>
      <w:r>
        <w:rPr>
          <w:rFonts w:ascii="Calibri" w:hAnsi="Calibri"/>
          <w:sz w:val="22"/>
          <w:szCs w:val="22"/>
          <w:color w:val="283548"/>
        </w:rPr>
        <w:t xml:space="preserve">Do you ask a question and listen, or just pitch?</w:t>
      </w:r>
    </w:p>
    <w:p>
      <w:pPr>
        <w:numPr>
          <w:ilvl w:val="0"/>
          <w:numId w:val="1"/>
        </w:numPr>
        <w:spacing w:after="80" w:line="300" w:lineRule="auto"/>
      </w:pPr>
      <w:r>
        <w:rPr>
          <w:rFonts w:ascii="Calibri" w:hAnsi="Calibri"/>
          <w:sz w:val="22"/>
          <w:szCs w:val="22"/>
          <w:color w:val="283548"/>
        </w:rPr>
        <w:t xml:space="preserve">How do you react to a "not interested"?</w:t>
      </w:r>
    </w:p>
    <w:p>
      <w:pPr>
        <w:numPr>
          <w:ilvl w:val="0"/>
          <w:numId w:val="1"/>
        </w:numPr>
        <w:spacing w:after="80" w:line="300" w:lineRule="auto"/>
      </w:pPr>
      <w:r>
        <w:rPr>
          <w:rFonts w:ascii="Calibri" w:hAnsi="Calibri"/>
          <w:sz w:val="22"/>
          <w:szCs w:val="22"/>
          <w:color w:val="283548"/>
        </w:rPr>
        <w:t xml:space="preserve">Are you coachable when they give feedback?</w:t>
      </w:r>
    </w:p>
    <w:p>
      <w:pPr>
        <w:pStyle w:val="Heading1"/>
        <w:keepNext/>
      </w:pPr>
      <w:r>
        <w:rPr>
          <w:rFonts w:ascii="Calibri" w:hAnsi="Calibri"/>
        </w:rPr>
        <w:t xml:space="preserve">Prepare in four steps</w:t>
      </w:r>
    </w:p>
    <w:p>
      <w:pPr>
        <w:numPr>
          <w:ilvl w:val="0"/>
          <w:numId w:val="2"/>
        </w:numPr>
        <w:spacing w:after="80" w:line="300" w:lineRule="auto"/>
      </w:pPr>
      <w:r>
        <w:rPr>
          <w:rFonts w:ascii="Calibri" w:hAnsi="Calibri"/>
          <w:sz w:val="22"/>
          <w:szCs w:val="22"/>
          <w:color w:val="283548"/>
        </w:rPr>
        <w:t xml:space="preserve">Write a short, adaptable opener you can say naturally.</w:t>
      </w:r>
    </w:p>
    <w:p>
      <w:pPr>
        <w:numPr>
          <w:ilvl w:val="0"/>
          <w:numId w:val="2"/>
        </w:numPr>
        <w:spacing w:after="80" w:line="300" w:lineRule="auto"/>
      </w:pPr>
      <w:r>
        <w:rPr>
          <w:rFonts w:ascii="Calibri" w:hAnsi="Calibri"/>
          <w:sz w:val="22"/>
          <w:szCs w:val="22"/>
          <w:color w:val="283548"/>
        </w:rPr>
        <w:t xml:space="preserve">Prepare one open question and one calm objection response.</w:t>
      </w:r>
    </w:p>
    <w:p>
      <w:pPr>
        <w:numPr>
          <w:ilvl w:val="0"/>
          <w:numId w:val="2"/>
        </w:numPr>
        <w:spacing w:after="80" w:line="300" w:lineRule="auto"/>
      </w:pPr>
      <w:r>
        <w:rPr>
          <w:rFonts w:ascii="Calibri" w:hAnsi="Calibri"/>
          <w:sz w:val="22"/>
          <w:szCs w:val="22"/>
          <w:color w:val="283548"/>
        </w:rPr>
        <w:t xml:space="preserve">Run the mock with the AI Coach audition track twice.</w:t>
      </w:r>
    </w:p>
    <w:p>
      <w:pPr>
        <w:numPr>
          <w:ilvl w:val="0"/>
          <w:numId w:val="2"/>
        </w:numPr>
        <w:spacing w:after="80" w:line="300" w:lineRule="auto"/>
      </w:pPr>
      <w:r>
        <w:rPr>
          <w:rFonts w:ascii="Calibri" w:hAnsi="Calibri"/>
          <w:sz w:val="22"/>
          <w:szCs w:val="22"/>
          <w:color w:val="283548"/>
        </w:rPr>
        <w:t xml:space="preserve">Debrief: one thing you did well, one thing to adjust.</w:t>
      </w:r>
    </w:p>
    <w:p>
      <w:pPr>
        <w:pStyle w:val="Heading1"/>
        <w:keepNext/>
      </w:pPr>
      <w:r>
        <w:rPr>
          <w:rFonts w:ascii="Calibri" w:hAnsi="Calibri"/>
        </w:rPr>
        <w:t xml:space="preserve">Professional standard</w:t>
      </w:r>
    </w:p>
    <w:p>
      <w:pPr>
        <w:spacing w:after="120" w:line="300" w:lineRule="auto"/>
      </w:pPr>
      <w:r>
        <w:rPr>
          <w:rFonts w:ascii="Calibri" w:hAnsi="Calibri"/>
          <w:sz w:val="22"/>
          <w:szCs w:val="22"/>
          <w:color w:val="283548"/>
        </w:rPr>
        <w:t xml:space="preserve">Professional interview preparation connects honest evidence to the employer's real requirements. Answers should be structured enough to follow, flexible enough for dialogue, and precise about what you personally did and learned.</w:t>
      </w:r>
    </w:p>
    <w:p>
      <w:pPr>
        <w:pStyle w:val="Heading1"/>
        <w:keepNext/>
      </w:pPr>
      <w:r>
        <w:rPr>
          <w:rFonts w:ascii="Calibri" w:hAnsi="Calibri"/>
        </w:rPr>
        <w:t xml:space="preserve">Professional workflow</w:t>
      </w:r>
    </w:p>
    <w:p>
      <w:pPr>
        <w:numPr>
          <w:ilvl w:val="0"/>
          <w:numId w:val="2"/>
        </w:numPr>
        <w:spacing w:after="80" w:line="300" w:lineRule="auto"/>
      </w:pPr>
      <w:r>
        <w:rPr>
          <w:rFonts w:ascii="Calibri" w:hAnsi="Calibri"/>
          <w:sz w:val="22"/>
          <w:szCs w:val="22"/>
          <w:color w:val="283548"/>
        </w:rPr>
        <w:t xml:space="preserve">Study the job description and company before completing the resource. Match your preparation to the actual role rather than a generic sales interview.</w:t>
      </w:r>
    </w:p>
    <w:p>
      <w:pPr>
        <w:numPr>
          <w:ilvl w:val="0"/>
          <w:numId w:val="2"/>
        </w:numPr>
        <w:spacing w:after="80" w:line="300" w:lineRule="auto"/>
      </w:pPr>
      <w:r>
        <w:rPr>
          <w:rFonts w:ascii="Calibri" w:hAnsi="Calibri"/>
          <w:sz w:val="22"/>
          <w:szCs w:val="22"/>
          <w:color w:val="283548"/>
        </w:rPr>
        <w:t xml:space="preserve">Build answers from real evidence: work, study, volunteering, projects, or deliberate practice. Label estimates honestly and never invent experience.</w:t>
      </w:r>
    </w:p>
    <w:p>
      <w:pPr>
        <w:numPr>
          <w:ilvl w:val="0"/>
          <w:numId w:val="2"/>
        </w:numPr>
        <w:spacing w:after="80" w:line="300" w:lineRule="auto"/>
      </w:pPr>
      <w:r>
        <w:rPr>
          <w:rFonts w:ascii="Calibri" w:hAnsi="Calibri"/>
          <w:sz w:val="22"/>
          <w:szCs w:val="22"/>
          <w:color w:val="283548"/>
        </w:rPr>
        <w:t xml:space="preserve">Practise aloud with a timer, then repeat with a follow-up question or interruption. Strong answers stay clear when the conversation changes.</w:t>
      </w:r>
    </w:p>
    <w:p>
      <w:pPr>
        <w:numPr>
          <w:ilvl w:val="0"/>
          <w:numId w:val="2"/>
        </w:numPr>
        <w:spacing w:after="80" w:line="300" w:lineRule="auto"/>
      </w:pPr>
      <w:r>
        <w:rPr>
          <w:rFonts w:ascii="Calibri" w:hAnsi="Calibri"/>
          <w:sz w:val="22"/>
          <w:szCs w:val="22"/>
          <w:color w:val="283548"/>
        </w:rPr>
        <w:t xml:space="preserve">Ask a reviewer or the AI Coach to score clarity, evidence, relevance, and concision. Convert broad feedback into one specific revision.</w:t>
      </w:r>
    </w:p>
    <w:p>
      <w:pPr>
        <w:numPr>
          <w:ilvl w:val="0"/>
          <w:numId w:val="2"/>
        </w:numPr>
        <w:spacing w:after="80" w:line="300" w:lineRule="auto"/>
      </w:pPr>
      <w:r>
        <w:rPr>
          <w:rFonts w:ascii="Calibri" w:hAnsi="Calibri"/>
          <w:sz w:val="22"/>
          <w:szCs w:val="22"/>
          <w:color w:val="283548"/>
        </w:rPr>
        <w:t xml:space="preserve">Prepare a concise version and a fuller version of each answer. Use the concise version first and add detail only when the interviewer asks.</w:t>
      </w:r>
    </w:p>
    <w:p>
      <w:pPr>
        <w:pStyle w:val="Heading1"/>
        <w:keepNext/>
      </w:pPr>
      <w:r>
        <w:rPr>
          <w:rFonts w:ascii="Calibri" w:hAnsi="Calibri"/>
        </w:rPr>
        <w:t xml:space="preserve">Quality-control review</w:t>
      </w:r>
    </w:p>
    <w:tbl>
      <w:tblPr>
        <w:tblW w:w="9360" w:type="dxa"/>
        <w:tblInd w:w="120" w:type="dxa"/>
        <w:tblLayout w:type="fixed"/>
        <w:tblCellMar>
          <w:top w:w="100" w:type="dxa"/>
          <w:left w:w="120" w:type="dxa"/>
          <w:bottom w:w="100" w:type="dxa"/>
          <w:right w:w="120" w:type="dxa"/>
        </w:tblCellMar>
        <w:tblBorders>
          <w:top w:val="single" w:sz="4" w:color="D9DEE7"/>
          <w:left w:val="single" w:sz="4" w:color="D9DEE7"/>
          <w:bottom w:val="single" w:sz="4" w:color="D9DEE7"/>
          <w:right w:val="single" w:sz="4" w:color="D9DEE7"/>
          <w:insideH w:val="single" w:sz="4" w:color="D9DEE7"/>
          <w:insideV w:val="single" w:sz="4" w:color="D9DEE7"/>
        </w:tblBorders>
      </w:tblPr>
      <w:tblGrid>
        <w:gridCol w:w="1200"/>
        <w:gridCol w:w="4118"/>
        <w:gridCol w:w="4042"/>
      </w:tblGrid>
      <w:tr>
        <w:trPr>
          <w:tblHeader/>
        </w:trPr>
        <w:tc>
          <w:tcPr>
            <w:tcW w:w="1200" w:type="dxa"/>
            <w:vAlign w:val="center"/>
            <w:shd w:val="clear" w:color="auto" w:fill="FFF3C4"/>
          </w:tcPr>
          <w:p>
            <w:pPr>
              <w:spacing w:after="40" w:line="280" w:lineRule="auto"/>
            </w:pPr>
            <w:r>
              <w:rPr>
                <w:rFonts w:ascii="Calibri" w:hAnsi="Calibri"/>
                <w:b/>
                <w:sz w:val="19"/>
                <w:szCs w:val="19"/>
                <w:color w:val="6B4F00"/>
              </w:rPr>
              <w:t xml:space="preserve">Review point</w:t>
            </w:r>
          </w:p>
        </w:tc>
        <w:tc>
          <w:tcPr>
            <w:tcW w:w="4118" w:type="dxa"/>
            <w:vAlign w:val="center"/>
            <w:shd w:val="clear" w:color="auto" w:fill="FFF3C4"/>
          </w:tcPr>
          <w:p>
            <w:pPr>
              <w:spacing w:after="40" w:line="280" w:lineRule="auto"/>
            </w:pPr>
            <w:r>
              <w:rPr>
                <w:rFonts w:ascii="Calibri" w:hAnsi="Calibri"/>
                <w:b/>
                <w:sz w:val="19"/>
                <w:szCs w:val="19"/>
                <w:color w:val="6B4F00"/>
              </w:rPr>
              <w:t xml:space="preserve">Professional standard</w:t>
            </w:r>
          </w:p>
        </w:tc>
        <w:tc>
          <w:tcPr>
            <w:tcW w:w="4042" w:type="dxa"/>
            <w:vAlign w:val="center"/>
            <w:shd w:val="clear" w:color="auto" w:fill="FFF3C4"/>
          </w:tcPr>
          <w:p>
            <w:pPr>
              <w:spacing w:after="40" w:line="280" w:lineRule="auto"/>
            </w:pPr>
            <w:r>
              <w:rPr>
                <w:rFonts w:ascii="Calibri" w:hAnsi="Calibri"/>
                <w:b/>
                <w:sz w:val="19"/>
                <w:szCs w:val="19"/>
                <w:color w:val="6B4F00"/>
              </w:rPr>
              <w:t xml:space="preserve">Warning sign</w:t>
            </w:r>
          </w:p>
        </w:tc>
      </w:tr>
      <w:tr>
        <w:tc>
          <w:tcPr>
            <w:tcW w:w="1200" w:type="dxa"/>
            <w:vAlign w:val="center"/>
          </w:tcPr>
          <w:p>
            <w:pPr>
              <w:spacing w:after="40" w:line="280" w:lineRule="auto"/>
            </w:pPr>
            <w:r>
              <w:rPr>
                <w:rFonts w:ascii="Calibri" w:hAnsi="Calibri"/>
                <w:sz w:val="19"/>
                <w:szCs w:val="19"/>
                <w:color w:val="283548"/>
              </w:rPr>
              <w:t xml:space="preserve">Relevance</w:t>
            </w:r>
          </w:p>
        </w:tc>
        <w:tc>
          <w:tcPr>
            <w:tcW w:w="4118" w:type="dxa"/>
            <w:vAlign w:val="center"/>
          </w:tcPr>
          <w:p>
            <w:pPr>
              <w:spacing w:after="40" w:line="280" w:lineRule="auto"/>
            </w:pPr>
            <w:r>
              <w:rPr>
                <w:rFonts w:ascii="Calibri" w:hAnsi="Calibri"/>
                <w:sz w:val="19"/>
                <w:szCs w:val="19"/>
                <w:color w:val="283548"/>
              </w:rPr>
              <w:t xml:space="preserve">The answer addresses the role requirement and the exact question asked.</w:t>
            </w:r>
          </w:p>
        </w:tc>
        <w:tc>
          <w:tcPr>
            <w:tcW w:w="4042" w:type="dxa"/>
            <w:vAlign w:val="center"/>
          </w:tcPr>
          <w:p>
            <w:pPr>
              <w:spacing w:after="40" w:line="280" w:lineRule="auto"/>
            </w:pPr>
            <w:r>
              <w:rPr>
                <w:rFonts w:ascii="Calibri" w:hAnsi="Calibri"/>
                <w:sz w:val="19"/>
                <w:szCs w:val="19"/>
                <w:color w:val="283548"/>
              </w:rPr>
              <w:t xml:space="preserve">A polished story is used even when it does not answer the question.</w:t>
            </w:r>
          </w:p>
        </w:tc>
      </w:tr>
      <w:tr>
        <w:tc>
          <w:tcPr>
            <w:tcW w:w="1200" w:type="dxa"/>
            <w:vAlign w:val="center"/>
          </w:tcPr>
          <w:p>
            <w:pPr>
              <w:spacing w:after="40" w:line="280" w:lineRule="auto"/>
            </w:pPr>
            <w:r>
              <w:rPr>
                <w:rFonts w:ascii="Calibri" w:hAnsi="Calibri"/>
                <w:sz w:val="19"/>
                <w:szCs w:val="19"/>
                <w:color w:val="283548"/>
              </w:rPr>
              <w:t xml:space="preserve">Evidence</w:t>
            </w:r>
          </w:p>
        </w:tc>
        <w:tc>
          <w:tcPr>
            <w:tcW w:w="4118" w:type="dxa"/>
            <w:vAlign w:val="center"/>
          </w:tcPr>
          <w:p>
            <w:pPr>
              <w:spacing w:after="40" w:line="280" w:lineRule="auto"/>
            </w:pPr>
            <w:r>
              <w:rPr>
                <w:rFonts w:ascii="Calibri" w:hAnsi="Calibri"/>
                <w:sz w:val="19"/>
                <w:szCs w:val="19"/>
                <w:color w:val="283548"/>
              </w:rPr>
              <w:t xml:space="preserve">Actions, decisions, and results are specific and attributable.</w:t>
            </w:r>
          </w:p>
        </w:tc>
        <w:tc>
          <w:tcPr>
            <w:tcW w:w="4042" w:type="dxa"/>
            <w:vAlign w:val="center"/>
          </w:tcPr>
          <w:p>
            <w:pPr>
              <w:spacing w:after="40" w:line="280" w:lineRule="auto"/>
            </w:pPr>
            <w:r>
              <w:rPr>
                <w:rFonts w:ascii="Calibri" w:hAnsi="Calibri"/>
                <w:sz w:val="19"/>
                <w:szCs w:val="19"/>
                <w:color w:val="283548"/>
              </w:rPr>
              <w:t xml:space="preserve">Team outcomes are claimed as personal achievements.</w:t>
            </w:r>
          </w:p>
        </w:tc>
      </w:tr>
      <w:tr>
        <w:tc>
          <w:tcPr>
            <w:tcW w:w="1200" w:type="dxa"/>
            <w:vAlign w:val="center"/>
          </w:tcPr>
          <w:p>
            <w:pPr>
              <w:spacing w:after="40" w:line="280" w:lineRule="auto"/>
            </w:pPr>
            <w:r>
              <w:rPr>
                <w:rFonts w:ascii="Calibri" w:hAnsi="Calibri"/>
                <w:sz w:val="19"/>
                <w:szCs w:val="19"/>
                <w:color w:val="283548"/>
              </w:rPr>
              <w:t xml:space="preserve">Structure</w:t>
            </w:r>
          </w:p>
        </w:tc>
        <w:tc>
          <w:tcPr>
            <w:tcW w:w="4118" w:type="dxa"/>
            <w:vAlign w:val="center"/>
          </w:tcPr>
          <w:p>
            <w:pPr>
              <w:spacing w:after="40" w:line="280" w:lineRule="auto"/>
            </w:pPr>
            <w:r>
              <w:rPr>
                <w:rFonts w:ascii="Calibri" w:hAnsi="Calibri"/>
                <w:sz w:val="19"/>
                <w:szCs w:val="19"/>
                <w:color w:val="283548"/>
              </w:rPr>
              <w:t xml:space="preserve">The answer has a clear beginning, evidence, and conclusion.</w:t>
            </w:r>
          </w:p>
        </w:tc>
        <w:tc>
          <w:tcPr>
            <w:tcW w:w="4042" w:type="dxa"/>
            <w:vAlign w:val="center"/>
          </w:tcPr>
          <w:p>
            <w:pPr>
              <w:spacing w:after="40" w:line="280" w:lineRule="auto"/>
            </w:pPr>
            <w:r>
              <w:rPr>
                <w:rFonts w:ascii="Calibri" w:hAnsi="Calibri"/>
                <w:sz w:val="19"/>
                <w:szCs w:val="19"/>
                <w:color w:val="283548"/>
              </w:rPr>
              <w:t xml:space="preserve">Context expands while the important action remains vague.</w:t>
            </w:r>
          </w:p>
        </w:tc>
      </w:tr>
      <w:tr>
        <w:tc>
          <w:tcPr>
            <w:tcW w:w="1200" w:type="dxa"/>
            <w:vAlign w:val="center"/>
          </w:tcPr>
          <w:p>
            <w:pPr>
              <w:spacing w:after="40" w:line="280" w:lineRule="auto"/>
            </w:pPr>
            <w:r>
              <w:rPr>
                <w:rFonts w:ascii="Calibri" w:hAnsi="Calibri"/>
                <w:sz w:val="19"/>
                <w:szCs w:val="19"/>
                <w:color w:val="283548"/>
              </w:rPr>
              <w:t xml:space="preserve">Reflection</w:t>
            </w:r>
          </w:p>
        </w:tc>
        <w:tc>
          <w:tcPr>
            <w:tcW w:w="4118" w:type="dxa"/>
            <w:vAlign w:val="center"/>
          </w:tcPr>
          <w:p>
            <w:pPr>
              <w:spacing w:after="40" w:line="280" w:lineRule="auto"/>
            </w:pPr>
            <w:r>
              <w:rPr>
                <w:rFonts w:ascii="Calibri" w:hAnsi="Calibri"/>
                <w:sz w:val="19"/>
                <w:szCs w:val="19"/>
                <w:color w:val="283548"/>
              </w:rPr>
              <w:t xml:space="preserve">Learning and future application are stated honestly.</w:t>
            </w:r>
          </w:p>
        </w:tc>
        <w:tc>
          <w:tcPr>
            <w:tcW w:w="4042" w:type="dxa"/>
            <w:vAlign w:val="center"/>
          </w:tcPr>
          <w:p>
            <w:pPr>
              <w:spacing w:after="40" w:line="280" w:lineRule="auto"/>
            </w:pPr>
            <w:r>
              <w:rPr>
                <w:rFonts w:ascii="Calibri" w:hAnsi="Calibri"/>
                <w:sz w:val="19"/>
                <w:szCs w:val="19"/>
                <w:color w:val="283548"/>
              </w:rPr>
              <w:t xml:space="preserve">The answer ends with a result but shows no self-awareness.</w:t>
            </w:r>
          </w:p>
        </w:tc>
      </w:tr>
    </w:tbl>
    <w:p>
      <w:pPr>
        <w:spacing w:after="80"/>
      </w:pPr>
      <w:r>
        <w:rPr>
          <w:rFonts w:ascii="Calibri" w:hAnsi="Calibri"/>
        </w:rPr>
        <w:t xml:space="preserve"/>
      </w:r>
    </w:p>
    <w:p>
      <w:pPr>
        <w:pStyle w:val="Heading1"/>
        <w:keepNext/>
      </w:pPr>
      <w:r>
        <w:rPr>
          <w:rFonts w:ascii="Calibri" w:hAnsi="Calibri"/>
        </w:rPr>
        <w:t xml:space="preserve">Evidence and improvement signals</w:t>
      </w:r>
    </w:p>
    <w:p>
      <w:pPr>
        <w:numPr>
          <w:ilvl w:val="0"/>
          <w:numId w:val="1"/>
        </w:numPr>
        <w:spacing w:after="80" w:line="300" w:lineRule="auto"/>
      </w:pPr>
      <w:r>
        <w:rPr>
          <w:rFonts w:ascii="Calibri" w:hAnsi="Calibri"/>
          <w:sz w:val="22"/>
          <w:szCs w:val="22"/>
          <w:color w:val="283548"/>
        </w:rPr>
        <w:t xml:space="preserve">Time both a 60-90 second version and a fuller two-minute version of key answers.</w:t>
      </w:r>
    </w:p>
    <w:p>
      <w:pPr>
        <w:numPr>
          <w:ilvl w:val="0"/>
          <w:numId w:val="1"/>
        </w:numPr>
        <w:spacing w:after="80" w:line="300" w:lineRule="auto"/>
      </w:pPr>
      <w:r>
        <w:rPr>
          <w:rFonts w:ascii="Calibri" w:hAnsi="Calibri"/>
          <w:sz w:val="22"/>
          <w:szCs w:val="22"/>
          <w:color w:val="283548"/>
        </w:rPr>
        <w:t xml:space="preserve">Map every prepared example to the job requirement it supports.</w:t>
      </w:r>
    </w:p>
    <w:p>
      <w:pPr>
        <w:numPr>
          <w:ilvl w:val="0"/>
          <w:numId w:val="1"/>
        </w:numPr>
        <w:spacing w:after="80" w:line="300" w:lineRule="auto"/>
      </w:pPr>
      <w:r>
        <w:rPr>
          <w:rFonts w:ascii="Calibri" w:hAnsi="Calibri"/>
          <w:sz w:val="22"/>
          <w:szCs w:val="22"/>
          <w:color w:val="283548"/>
        </w:rPr>
        <w:t xml:space="preserve">Record follow-up questions you struggled with and strengthen the underlying evidence.</w:t>
      </w:r>
    </w:p>
    <w:p>
      <w:pPr>
        <w:numPr>
          <w:ilvl w:val="0"/>
          <w:numId w:val="1"/>
        </w:numPr>
        <w:spacing w:after="80" w:line="300" w:lineRule="auto"/>
      </w:pPr>
      <w:r>
        <w:rPr>
          <w:rFonts w:ascii="Calibri" w:hAnsi="Calibri"/>
          <w:sz w:val="22"/>
          <w:szCs w:val="22"/>
          <w:color w:val="283548"/>
        </w:rPr>
        <w:t xml:space="preserve">Review accuracy, clarity, and relevance before trying to sound more impressive.</w:t>
      </w:r>
    </w:p>
    <w:p>
      <w:pPr>
        <w:pStyle w:val="Heading1"/>
        <w:keepNext/>
      </w:pPr>
      <w:r>
        <w:rPr>
          <w:rFonts w:ascii="Calibri" w:hAnsi="Calibri"/>
        </w:rPr>
        <w:t xml:space="preserve">Worked example (composure)</w:t>
      </w:r>
    </w:p>
    <w:p>
      <w:pPr>
        <w:spacing w:after="120" w:line="300" w:lineRule="auto"/>
      </w:pPr>
      <w:r>
        <w:rPr>
          <w:rFonts w:ascii="Calibri" w:hAnsi="Calibri"/>
          <w:sz w:val="22"/>
          <w:szCs w:val="22"/>
          <w:color w:val="283548"/>
        </w:rPr>
        <w:t xml:space="preserve">Assessor: "I am not interested." You: "That is fair — can I ask one quick thing and then let you go? Is it the timing, or just not a fit right now?" Staying curious and calm under a brush-off usually scores higher than a perfect script.</w:t>
      </w:r>
    </w:p>
    <w:p>
      <w:pPr>
        <w:pStyle w:val="Heading1"/>
        <w:keepNext/>
      </w:pPr>
      <w:r>
        <w:rPr>
          <w:rFonts w:ascii="Calibri" w:hAnsi="Calibri"/>
        </w:rPr>
        <w:t xml:space="preserve">Safe-practice note</w:t>
      </w:r>
    </w:p>
    <w:p>
      <w:pPr>
        <w:spacing w:after="120" w:line="300" w:lineRule="auto"/>
      </w:pPr>
      <w:r>
        <w:rPr>
          <w:rFonts w:ascii="Calibri" w:hAnsi="Calibri"/>
          <w:sz w:val="22"/>
          <w:szCs w:val="22"/>
          <w:color w:val="283548"/>
        </w:rPr>
        <w:t xml:space="preserve">Show your real ability rather than a memorised performance; assessors can tell. If you are nervous, it is fine to say so briefly and continue. Do not fabricate experience during the mock — being coachable matters more than sounding polished.</w:t>
      </w:r>
    </w:p>
    <w:p>
      <w:pPr>
        <w:spacing w:before="240" w:after="40"/>
      </w:pPr>
      <w:r>
        <w:rPr>
          <w:rFonts w:ascii="Calibri" w:hAnsi="Calibri"/>
          <w:sz w:val="17"/>
          <w:szCs w:val="17"/>
          <w:color w:val="7B8494"/>
        </w:rPr>
        <w:t xml:space="preserve">Last reviewed: 2026-07-28 | AmplifyHub Practical Resource Library</w:t>
      </w:r>
    </w:p>
    <w:sectPr>
      <w:headerReference w:type="default" r:id="rId3"/>
      <w:footerReference w:type="default" r:id="rId4"/>
      <w:pgSz w:w="12240" w:h="15840"/>
      <w:pgMar w:top="1440" w:right="1440" w:bottom="1440" w:left="1440" w:header="708" w:footer="708" w:gutter="0"/>
    </w:sectPr>
  </w:body>
</w:document>
</file>

<file path=word/footer1.xml><?xml version="1.0" encoding="utf-8"?>
<w:ftr xmlns:w="http://schemas.openxmlformats.org/wordprocessingml/2006/main">
  <w:p>
    <w:pPr>
      <w:jc w:val="right"/>
    </w:pPr>
    <w:r>
      <w:rPr>
        <w:color w:val="7B8494"/>
        <w:sz w:val="16"/>
      </w:rPr>
      <w:t>AmplifyHub  |  Page </w:t>
    </w:r>
    <w:fldSimple w:instr="PAGE">
      <w:r>
        <w:rPr>
          <w:color w:val="7B8494"/>
          <w:sz w:val="16"/>
        </w:rPr>
        <w:t>1</w:t>
      </w:r>
    </w:fldSimple>
  </w:p>
</w:ftr>
</file>

<file path=word/header1.xml><?xml version="1.0" encoding="utf-8"?>
<w:hdr xmlns:w="http://schemas.openxmlformats.org/wordprocessingml/2006/main">
  <w:p>
    <w:pPr>
      <w:spacing w:after="40"/>
    </w:pPr>
    <w:r>
      <w:rPr>
        <w:rFonts w:ascii="Calibri" w:hAnsi="Calibri"/>
        <w:b/>
        <w:sz w:val="16"/>
        <w:szCs w:val="16"/>
        <w:color w:val="8A6200"/>
      </w:rPr>
      <w:t xml:space="preserve">AMPLIFYHUB  |  PRACTICAL RESOURCE LIBRARY</w:t>
    </w: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abstractNum w:abstractNumId="1">
    <w:multiLevelType w:val="singleLevel"/>
    <w:lvl w:ilvl="0">
      <w:start w:val="1"/>
      <w:numFmt w:val="decimal"/>
      <w:lvlText w:val="%1."/>
      <w:lvlJc w:val="left"/>
      <w:pPr>
        <w:tabs>
          <w:tab w:val="num" w:pos="540"/>
        </w:tabs>
        <w:ind w:left="540" w:hanging="270"/>
        <w:spacing w:after="80" w:line="300" w:lineRule="auto"/>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2"/>
      </w:rPr>
    </w:rPrDefault>
    <w:pPrDefault>
      <w:pPr>
        <w:spacing w:after="120" w:line="300" w:lineRule="auto"/>
      </w:pPr>
    </w:pPrDefault>
  </w:docDefaults>
  <w:style w:type="paragraph" w:default="1" w:styleId="Normal">
    <w:name w:val="Normal"/>
    <w:pPr>
      <w:spacing w:after="120" w:line="300" w:lineRule="auto"/>
    </w:pPr>
    <w:rPr>
      <w:rFonts w:ascii="Calibri" w:hAnsi="Calibri"/>
      <w:sz w:val="22"/>
      <w:color w:val="283548"/>
    </w:rPr>
  </w:style>
  <w:style w:type="paragraph" w:styleId="Title">
    <w:name w:val="Title"/>
    <w:pPr>
      <w:keepNext/>
      <w:spacing w:after="120"/>
    </w:pPr>
    <w:rPr>
      <w:rFonts w:ascii="Calibri" w:hAnsi="Calibri"/>
      <w:b/>
      <w:sz w:val="56"/>
      <w:color w:val="172033"/>
    </w:rPr>
  </w:style>
  <w:style w:type="paragraph" w:styleId="Heading1">
    <w:name w:val="Heading 1"/>
    <w:pPr>
      <w:keepNext/>
      <w:spacing w:before="280" w:after="140"/>
    </w:pPr>
    <w:rPr>
      <w:rFonts w:ascii="Calibri" w:hAnsi="Calibri"/>
      <w:b/>
      <w:sz w:val="30"/>
      <w:color w:val="8A620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eader" Target="header1.xml"/><Relationship Id="rId4" Type="http://schemas.openxmlformats.org/officeDocument/2006/relationships/footer" Target="footer1.xml"/></Relationships>
</file>