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Common-Question Answer Planner</w:t>
      </w:r>
    </w:p>
    <w:p>
      <w:pPr>
        <w:spacing w:after="100"/>
      </w:pPr>
      <w:r>
        <w:rPr>
          <w:rFonts w:ascii="Calibri" w:hAnsi="Calibri"/>
          <w:b/>
          <w:sz w:val="18"/>
          <w:szCs w:val="18"/>
          <w:color w:val="6B7280"/>
        </w:rPr>
        <w:t xml:space="preserve">INTERVIEW PREP | SKILL: INTERVIEW | DIFFICULTY: BEGINNER | EST. 15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planner for drafting honest, structured answers to the SDR interview questions you are most likely to face, so you sound prepared without sounding rehearsed.</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Draft answers to common SDR interview questions</w:t>
      </w:r>
    </w:p>
    <w:p>
      <w:pPr>
        <w:numPr>
          <w:ilvl w:val="0"/>
          <w:numId w:val="1"/>
        </w:numPr>
        <w:spacing w:after="80" w:line="300" w:lineRule="auto"/>
      </w:pPr>
      <w:r>
        <w:rPr>
          <w:rFonts w:ascii="Calibri" w:hAnsi="Calibri"/>
          <w:sz w:val="22"/>
          <w:szCs w:val="22"/>
          <w:color w:val="283548"/>
        </w:rPr>
        <w:t xml:space="preserve">Keep answers honest and specific</w:t>
      </w:r>
    </w:p>
    <w:p>
      <w:pPr>
        <w:numPr>
          <w:ilvl w:val="0"/>
          <w:numId w:val="1"/>
        </w:numPr>
        <w:spacing w:after="80" w:line="300" w:lineRule="auto"/>
      </w:pPr>
      <w:r>
        <w:rPr>
          <w:rFonts w:ascii="Calibri" w:hAnsi="Calibri"/>
          <w:sz w:val="22"/>
          <w:szCs w:val="22"/>
          <w:color w:val="283548"/>
        </w:rPr>
        <w:t xml:space="preserve">Structure each answer so it is easy to follow</w:t>
      </w:r>
    </w:p>
    <w:p>
      <w:pPr>
        <w:numPr>
          <w:ilvl w:val="0"/>
          <w:numId w:val="1"/>
        </w:numPr>
        <w:spacing w:after="80" w:line="300" w:lineRule="auto"/>
      </w:pPr>
      <w:r>
        <w:rPr>
          <w:rFonts w:ascii="Calibri" w:hAnsi="Calibri"/>
          <w:sz w:val="22"/>
          <w:szCs w:val="22"/>
          <w:color w:val="283548"/>
        </w:rPr>
        <w:t xml:space="preserve">Practice out loud before the interview</w:t>
      </w:r>
    </w:p>
    <w:p>
      <w:pPr>
        <w:pStyle w:val="Heading1"/>
        <w:keepNext/>
      </w:pPr>
      <w:r>
        <w:rPr>
          <w:rFonts w:ascii="Calibri" w:hAnsi="Calibri"/>
        </w:rPr>
        <w:t xml:space="preserve">Questions to prepare</w:t>
      </w:r>
    </w:p>
    <w:p>
      <w:pPr>
        <w:numPr>
          <w:ilvl w:val="0"/>
          <w:numId w:val="1"/>
        </w:numPr>
        <w:spacing w:after="80" w:line="300" w:lineRule="auto"/>
      </w:pPr>
      <w:r>
        <w:rPr>
          <w:rFonts w:ascii="Calibri" w:hAnsi="Calibri"/>
          <w:sz w:val="22"/>
          <w:szCs w:val="22"/>
          <w:color w:val="283548"/>
        </w:rPr>
        <w:t xml:space="preserve">"Why do you want to be an SDR?"</w:t>
      </w:r>
    </w:p>
    <w:p>
      <w:pPr>
        <w:numPr>
          <w:ilvl w:val="0"/>
          <w:numId w:val="1"/>
        </w:numPr>
        <w:spacing w:after="80" w:line="300" w:lineRule="auto"/>
      </w:pPr>
      <w:r>
        <w:rPr>
          <w:rFonts w:ascii="Calibri" w:hAnsi="Calibri"/>
          <w:sz w:val="22"/>
          <w:szCs w:val="22"/>
          <w:color w:val="283548"/>
        </w:rPr>
        <w:t xml:space="preserve">"How do you handle rejection?"</w:t>
      </w:r>
    </w:p>
    <w:p>
      <w:pPr>
        <w:numPr>
          <w:ilvl w:val="0"/>
          <w:numId w:val="1"/>
        </w:numPr>
        <w:spacing w:after="80" w:line="300" w:lineRule="auto"/>
      </w:pPr>
      <w:r>
        <w:rPr>
          <w:rFonts w:ascii="Calibri" w:hAnsi="Calibri"/>
          <w:sz w:val="22"/>
          <w:szCs w:val="22"/>
          <w:color w:val="283548"/>
        </w:rPr>
        <w:t xml:space="preserve">"Walk me through how you would research a prospect."</w:t>
      </w:r>
    </w:p>
    <w:p>
      <w:pPr>
        <w:numPr>
          <w:ilvl w:val="0"/>
          <w:numId w:val="1"/>
        </w:numPr>
        <w:spacing w:after="80" w:line="300" w:lineRule="auto"/>
      </w:pPr>
      <w:r>
        <w:rPr>
          <w:rFonts w:ascii="Calibri" w:hAnsi="Calibri"/>
          <w:sz w:val="22"/>
          <w:szCs w:val="22"/>
          <w:color w:val="283548"/>
        </w:rPr>
        <w:t xml:space="preserve">"Tell me about a time you were persistent."</w:t>
      </w:r>
    </w:p>
    <w:p>
      <w:pPr>
        <w:numPr>
          <w:ilvl w:val="0"/>
          <w:numId w:val="1"/>
        </w:numPr>
        <w:spacing w:after="80" w:line="300" w:lineRule="auto"/>
      </w:pPr>
      <w:r>
        <w:rPr>
          <w:rFonts w:ascii="Calibri" w:hAnsi="Calibri"/>
          <w:sz w:val="22"/>
          <w:szCs w:val="22"/>
          <w:color w:val="283548"/>
        </w:rPr>
        <w:t xml:space="preserve">"What do you know about our company and who we sell to?"</w:t>
      </w:r>
    </w:p>
    <w:p>
      <w:pPr>
        <w:pStyle w:val="Heading1"/>
        <w:keepNext/>
      </w:pPr>
      <w:r>
        <w:rPr>
          <w:rFonts w:ascii="Calibri" w:hAnsi="Calibri"/>
        </w:rPr>
        <w:t xml:space="preserve">For each question, plan</w:t>
      </w:r>
    </w:p>
    <w:p>
      <w:pPr>
        <w:numPr>
          <w:ilvl w:val="0"/>
          <w:numId w:val="1"/>
        </w:numPr>
        <w:spacing w:after="80" w:line="300" w:lineRule="auto"/>
      </w:pPr>
      <w:r>
        <w:rPr>
          <w:rFonts w:ascii="Calibri" w:hAnsi="Calibri"/>
          <w:sz w:val="22"/>
          <w:szCs w:val="22"/>
          <w:color w:val="283548"/>
        </w:rPr>
        <w:t xml:space="preserve">One honest sentence that answers directly: ______________________________</w:t>
      </w:r>
    </w:p>
    <w:p>
      <w:pPr>
        <w:numPr>
          <w:ilvl w:val="0"/>
          <w:numId w:val="1"/>
        </w:numPr>
        <w:spacing w:after="80" w:line="300" w:lineRule="auto"/>
      </w:pPr>
      <w:r>
        <w:rPr>
          <w:rFonts w:ascii="Calibri" w:hAnsi="Calibri"/>
          <w:sz w:val="22"/>
          <w:szCs w:val="22"/>
          <w:color w:val="283548"/>
        </w:rPr>
        <w:t xml:space="preserve">One specific example or detail that supports it: ______________________________</w:t>
      </w:r>
    </w:p>
    <w:p>
      <w:pPr>
        <w:numPr>
          <w:ilvl w:val="0"/>
          <w:numId w:val="1"/>
        </w:numPr>
        <w:spacing w:after="80" w:line="300" w:lineRule="auto"/>
      </w:pPr>
      <w:r>
        <w:rPr>
          <w:rFonts w:ascii="Calibri" w:hAnsi="Calibri"/>
          <w:sz w:val="22"/>
          <w:szCs w:val="22"/>
          <w:color w:val="283548"/>
        </w:rPr>
        <w:t xml:space="preserve">One sentence connecting it to the SDR role: ______________________________</w:t>
      </w:r>
    </w:p>
    <w:p>
      <w:pPr>
        <w:numPr>
          <w:ilvl w:val="0"/>
          <w:numId w:val="1"/>
        </w:numPr>
        <w:spacing w:after="80" w:line="300" w:lineRule="auto"/>
      </w:pPr>
      <w:r>
        <w:rPr>
          <w:rFonts w:ascii="Calibri" w:hAnsi="Calibri"/>
          <w:sz w:val="22"/>
          <w:szCs w:val="22"/>
          <w:color w:val="283548"/>
        </w:rPr>
        <w:t xml:space="preserve">A note of anything you must not overstate: ______________________________</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interview preparation connects honest evidence to the employer's real requirements. Answers should be structured enough to follow, flexible enough for dialogue, and precise about what you personally did and learned.</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Study the job description and company before completing the resource. Match your preparation to the actual role rather than a generic sales interview.</w:t>
      </w:r>
    </w:p>
    <w:p>
      <w:pPr>
        <w:numPr>
          <w:ilvl w:val="0"/>
          <w:numId w:val="2"/>
        </w:numPr>
        <w:spacing w:after="80" w:line="300" w:lineRule="auto"/>
      </w:pPr>
      <w:r>
        <w:rPr>
          <w:rFonts w:ascii="Calibri" w:hAnsi="Calibri"/>
          <w:sz w:val="22"/>
          <w:szCs w:val="22"/>
          <w:color w:val="283548"/>
        </w:rPr>
        <w:t xml:space="preserve">Build answers from real evidence: work, study, volunteering, projects, or deliberate practice. Label estimates honestly and never invent experience.</w:t>
      </w:r>
    </w:p>
    <w:p>
      <w:pPr>
        <w:numPr>
          <w:ilvl w:val="0"/>
          <w:numId w:val="2"/>
        </w:numPr>
        <w:spacing w:after="80" w:line="300" w:lineRule="auto"/>
      </w:pPr>
      <w:r>
        <w:rPr>
          <w:rFonts w:ascii="Calibri" w:hAnsi="Calibri"/>
          <w:sz w:val="22"/>
          <w:szCs w:val="22"/>
          <w:color w:val="283548"/>
        </w:rPr>
        <w:t xml:space="preserve">Practise aloud with a timer, then repeat with a follow-up question or interruption. Strong answers stay clear when the conversation changes.</w:t>
      </w:r>
    </w:p>
    <w:p>
      <w:pPr>
        <w:numPr>
          <w:ilvl w:val="0"/>
          <w:numId w:val="2"/>
        </w:numPr>
        <w:spacing w:after="80" w:line="300" w:lineRule="auto"/>
      </w:pPr>
      <w:r>
        <w:rPr>
          <w:rFonts w:ascii="Calibri" w:hAnsi="Calibri"/>
          <w:sz w:val="22"/>
          <w:szCs w:val="22"/>
          <w:color w:val="283548"/>
        </w:rPr>
        <w:t xml:space="preserve">Ask a reviewer or the AI Coach to score clarity, evidence, relevance, and concision. Convert broad feedback into one specific revision.</w:t>
      </w:r>
    </w:p>
    <w:p>
      <w:pPr>
        <w:numPr>
          <w:ilvl w:val="0"/>
          <w:numId w:val="2"/>
        </w:numPr>
        <w:spacing w:after="80" w:line="300" w:lineRule="auto"/>
      </w:pPr>
      <w:r>
        <w:rPr>
          <w:rFonts w:ascii="Calibri" w:hAnsi="Calibri"/>
          <w:sz w:val="22"/>
          <w:szCs w:val="22"/>
          <w:color w:val="283548"/>
        </w:rPr>
        <w:t xml:space="preserve">Prepare a concise version and a fuller version of each answer. Use the concise version first and add detail only when the interviewer asks.</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200"/>
        <w:gridCol w:w="4118"/>
        <w:gridCol w:w="4042"/>
      </w:tblGrid>
      <w:tr>
        <w:trPr>
          <w:tblHeader/>
        </w:trPr>
        <w:tc>
          <w:tcPr>
            <w:tcW w:w="1200"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411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4042"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200" w:type="dxa"/>
            <w:vAlign w:val="center"/>
          </w:tcPr>
          <w:p>
            <w:pPr>
              <w:spacing w:after="40" w:line="280" w:lineRule="auto"/>
            </w:pPr>
            <w:r>
              <w:rPr>
                <w:rFonts w:ascii="Calibri" w:hAnsi="Calibri"/>
                <w:sz w:val="19"/>
                <w:szCs w:val="19"/>
                <w:color w:val="283548"/>
              </w:rPr>
              <w:t xml:space="preserve">Relevance</w:t>
            </w:r>
          </w:p>
        </w:tc>
        <w:tc>
          <w:tcPr>
            <w:tcW w:w="4118" w:type="dxa"/>
            <w:vAlign w:val="center"/>
          </w:tcPr>
          <w:p>
            <w:pPr>
              <w:spacing w:after="40" w:line="280" w:lineRule="auto"/>
            </w:pPr>
            <w:r>
              <w:rPr>
                <w:rFonts w:ascii="Calibri" w:hAnsi="Calibri"/>
                <w:sz w:val="19"/>
                <w:szCs w:val="19"/>
                <w:color w:val="283548"/>
              </w:rPr>
              <w:t xml:space="preserve">The answer addresses the role requirement and the exact question asked.</w:t>
            </w:r>
          </w:p>
        </w:tc>
        <w:tc>
          <w:tcPr>
            <w:tcW w:w="4042" w:type="dxa"/>
            <w:vAlign w:val="center"/>
          </w:tcPr>
          <w:p>
            <w:pPr>
              <w:spacing w:after="40" w:line="280" w:lineRule="auto"/>
            </w:pPr>
            <w:r>
              <w:rPr>
                <w:rFonts w:ascii="Calibri" w:hAnsi="Calibri"/>
                <w:sz w:val="19"/>
                <w:szCs w:val="19"/>
                <w:color w:val="283548"/>
              </w:rPr>
              <w:t xml:space="preserve">A polished story is used even when it does not answer the question.</w:t>
            </w:r>
          </w:p>
        </w:tc>
      </w:tr>
      <w:tr>
        <w:tc>
          <w:tcPr>
            <w:tcW w:w="1200" w:type="dxa"/>
            <w:vAlign w:val="center"/>
          </w:tcPr>
          <w:p>
            <w:pPr>
              <w:spacing w:after="40" w:line="280" w:lineRule="auto"/>
            </w:pPr>
            <w:r>
              <w:rPr>
                <w:rFonts w:ascii="Calibri" w:hAnsi="Calibri"/>
                <w:sz w:val="19"/>
                <w:szCs w:val="19"/>
                <w:color w:val="283548"/>
              </w:rPr>
              <w:t xml:space="preserve">Evidence</w:t>
            </w:r>
          </w:p>
        </w:tc>
        <w:tc>
          <w:tcPr>
            <w:tcW w:w="4118" w:type="dxa"/>
            <w:vAlign w:val="center"/>
          </w:tcPr>
          <w:p>
            <w:pPr>
              <w:spacing w:after="40" w:line="280" w:lineRule="auto"/>
            </w:pPr>
            <w:r>
              <w:rPr>
                <w:rFonts w:ascii="Calibri" w:hAnsi="Calibri"/>
                <w:sz w:val="19"/>
                <w:szCs w:val="19"/>
                <w:color w:val="283548"/>
              </w:rPr>
              <w:t xml:space="preserve">Actions, decisions, and results are specific and attributable.</w:t>
            </w:r>
          </w:p>
        </w:tc>
        <w:tc>
          <w:tcPr>
            <w:tcW w:w="4042" w:type="dxa"/>
            <w:vAlign w:val="center"/>
          </w:tcPr>
          <w:p>
            <w:pPr>
              <w:spacing w:after="40" w:line="280" w:lineRule="auto"/>
            </w:pPr>
            <w:r>
              <w:rPr>
                <w:rFonts w:ascii="Calibri" w:hAnsi="Calibri"/>
                <w:sz w:val="19"/>
                <w:szCs w:val="19"/>
                <w:color w:val="283548"/>
              </w:rPr>
              <w:t xml:space="preserve">Team outcomes are claimed as personal achievements.</w:t>
            </w:r>
          </w:p>
        </w:tc>
      </w:tr>
      <w:tr>
        <w:tc>
          <w:tcPr>
            <w:tcW w:w="1200" w:type="dxa"/>
            <w:vAlign w:val="center"/>
          </w:tcPr>
          <w:p>
            <w:pPr>
              <w:spacing w:after="40" w:line="280" w:lineRule="auto"/>
            </w:pPr>
            <w:r>
              <w:rPr>
                <w:rFonts w:ascii="Calibri" w:hAnsi="Calibri"/>
                <w:sz w:val="19"/>
                <w:szCs w:val="19"/>
                <w:color w:val="283548"/>
              </w:rPr>
              <w:t xml:space="preserve">Structure</w:t>
            </w:r>
          </w:p>
        </w:tc>
        <w:tc>
          <w:tcPr>
            <w:tcW w:w="4118" w:type="dxa"/>
            <w:vAlign w:val="center"/>
          </w:tcPr>
          <w:p>
            <w:pPr>
              <w:spacing w:after="40" w:line="280" w:lineRule="auto"/>
            </w:pPr>
            <w:r>
              <w:rPr>
                <w:rFonts w:ascii="Calibri" w:hAnsi="Calibri"/>
                <w:sz w:val="19"/>
                <w:szCs w:val="19"/>
                <w:color w:val="283548"/>
              </w:rPr>
              <w:t xml:space="preserve">The answer has a clear beginning, evidence, and conclusion.</w:t>
            </w:r>
          </w:p>
        </w:tc>
        <w:tc>
          <w:tcPr>
            <w:tcW w:w="4042" w:type="dxa"/>
            <w:vAlign w:val="center"/>
          </w:tcPr>
          <w:p>
            <w:pPr>
              <w:spacing w:after="40" w:line="280" w:lineRule="auto"/>
            </w:pPr>
            <w:r>
              <w:rPr>
                <w:rFonts w:ascii="Calibri" w:hAnsi="Calibri"/>
                <w:sz w:val="19"/>
                <w:szCs w:val="19"/>
                <w:color w:val="283548"/>
              </w:rPr>
              <w:t xml:space="preserve">Context expands while the important action remains vague.</w:t>
            </w:r>
          </w:p>
        </w:tc>
      </w:tr>
      <w:tr>
        <w:tc>
          <w:tcPr>
            <w:tcW w:w="1200" w:type="dxa"/>
            <w:vAlign w:val="center"/>
          </w:tcPr>
          <w:p>
            <w:pPr>
              <w:spacing w:after="40" w:line="280" w:lineRule="auto"/>
            </w:pPr>
            <w:r>
              <w:rPr>
                <w:rFonts w:ascii="Calibri" w:hAnsi="Calibri"/>
                <w:sz w:val="19"/>
                <w:szCs w:val="19"/>
                <w:color w:val="283548"/>
              </w:rPr>
              <w:t xml:space="preserve">Reflection</w:t>
            </w:r>
          </w:p>
        </w:tc>
        <w:tc>
          <w:tcPr>
            <w:tcW w:w="4118" w:type="dxa"/>
            <w:vAlign w:val="center"/>
          </w:tcPr>
          <w:p>
            <w:pPr>
              <w:spacing w:after="40" w:line="280" w:lineRule="auto"/>
            </w:pPr>
            <w:r>
              <w:rPr>
                <w:rFonts w:ascii="Calibri" w:hAnsi="Calibri"/>
                <w:sz w:val="19"/>
                <w:szCs w:val="19"/>
                <w:color w:val="283548"/>
              </w:rPr>
              <w:t xml:space="preserve">Learning and future application are stated honestly.</w:t>
            </w:r>
          </w:p>
        </w:tc>
        <w:tc>
          <w:tcPr>
            <w:tcW w:w="4042" w:type="dxa"/>
            <w:vAlign w:val="center"/>
          </w:tcPr>
          <w:p>
            <w:pPr>
              <w:spacing w:after="40" w:line="280" w:lineRule="auto"/>
            </w:pPr>
            <w:r>
              <w:rPr>
                <w:rFonts w:ascii="Calibri" w:hAnsi="Calibri"/>
                <w:sz w:val="19"/>
                <w:szCs w:val="19"/>
                <w:color w:val="283548"/>
              </w:rPr>
              <w:t xml:space="preserve">The answer ends with a result but shows no self-awareness.</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Time both a 60-90 second version and a fuller two-minute version of key answers.</w:t>
      </w:r>
    </w:p>
    <w:p>
      <w:pPr>
        <w:numPr>
          <w:ilvl w:val="0"/>
          <w:numId w:val="1"/>
        </w:numPr>
        <w:spacing w:after="80" w:line="300" w:lineRule="auto"/>
      </w:pPr>
      <w:r>
        <w:rPr>
          <w:rFonts w:ascii="Calibri" w:hAnsi="Calibri"/>
          <w:sz w:val="22"/>
          <w:szCs w:val="22"/>
          <w:color w:val="283548"/>
        </w:rPr>
        <w:t xml:space="preserve">Map every prepared example to the job requirement it supports.</w:t>
      </w:r>
    </w:p>
    <w:p>
      <w:pPr>
        <w:numPr>
          <w:ilvl w:val="0"/>
          <w:numId w:val="1"/>
        </w:numPr>
        <w:spacing w:after="80" w:line="300" w:lineRule="auto"/>
      </w:pPr>
      <w:r>
        <w:rPr>
          <w:rFonts w:ascii="Calibri" w:hAnsi="Calibri"/>
          <w:sz w:val="22"/>
          <w:szCs w:val="22"/>
          <w:color w:val="283548"/>
        </w:rPr>
        <w:t xml:space="preserve">Record follow-up questions you struggled with and strengthen the underlying evidence.</w:t>
      </w:r>
    </w:p>
    <w:p>
      <w:pPr>
        <w:numPr>
          <w:ilvl w:val="0"/>
          <w:numId w:val="1"/>
        </w:numPr>
        <w:spacing w:after="80" w:line="300" w:lineRule="auto"/>
      </w:pPr>
      <w:r>
        <w:rPr>
          <w:rFonts w:ascii="Calibri" w:hAnsi="Calibri"/>
          <w:sz w:val="22"/>
          <w:szCs w:val="22"/>
          <w:color w:val="283548"/>
        </w:rPr>
        <w:t xml:space="preserve">Review accuracy, clarity, and relevance before trying to sound more impressive.</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Q: "How do you handle rejection?" Direct: "I treat it as information, not a verdict." Support: "In practice roleplays I keep a short log and adjust one thing each time." Connection: "That habit is exactly what daily prospecting needs." Honest note: keep it to practice experience — do not imply a sales job you have not held.</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Prepare honest answers, not a script that inflates your experience. If you have practised rather than worked in a sales role, say so plainly — genuine preparation is a strength. The AI Coach can flag anything that sounds overstated.</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