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Interview-Day Checklist &amp; Portfolio</w:t>
      </w:r>
    </w:p>
    <w:p>
      <w:pPr>
        <w:spacing w:after="100"/>
      </w:pPr>
      <w:r>
        <w:rPr>
          <w:rFonts w:ascii="Calibri" w:hAnsi="Calibri"/>
          <w:b/>
          <w:sz w:val="18"/>
          <w:szCs w:val="18"/>
          <w:color w:val="6B7280"/>
        </w:rPr>
        <w:t xml:space="preserve">INTERVIEW PREP | SKILL: INTERVIEW | DIFFICULTY: BEGINNER | EST. 12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checklist for the day of the interview plus a simple portfolio outline — your prepared answers, stories, plan, and practice evidence — so you walk in organised and calm.</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Prepare everything you need the day before</w:t>
      </w:r>
    </w:p>
    <w:p>
      <w:pPr>
        <w:numPr>
          <w:ilvl w:val="0"/>
          <w:numId w:val="1"/>
        </w:numPr>
        <w:spacing w:after="80" w:line="300" w:lineRule="auto"/>
      </w:pPr>
      <w:r>
        <w:rPr>
          <w:rFonts w:ascii="Calibri" w:hAnsi="Calibri"/>
          <w:sz w:val="22"/>
          <w:szCs w:val="22"/>
          <w:color w:val="283548"/>
        </w:rPr>
        <w:t xml:space="preserve">Arrive calm and on time</w:t>
      </w:r>
    </w:p>
    <w:p>
      <w:pPr>
        <w:numPr>
          <w:ilvl w:val="0"/>
          <w:numId w:val="1"/>
        </w:numPr>
        <w:spacing w:after="80" w:line="300" w:lineRule="auto"/>
      </w:pPr>
      <w:r>
        <w:rPr>
          <w:rFonts w:ascii="Calibri" w:hAnsi="Calibri"/>
          <w:sz w:val="22"/>
          <w:szCs w:val="22"/>
          <w:color w:val="283548"/>
        </w:rPr>
        <w:t xml:space="preserve">Bring a simple portfolio of your preparation</w:t>
      </w:r>
    </w:p>
    <w:p>
      <w:pPr>
        <w:numPr>
          <w:ilvl w:val="0"/>
          <w:numId w:val="1"/>
        </w:numPr>
        <w:spacing w:after="80" w:line="300" w:lineRule="auto"/>
      </w:pPr>
      <w:r>
        <w:rPr>
          <w:rFonts w:ascii="Calibri" w:hAnsi="Calibri"/>
          <w:sz w:val="22"/>
          <w:szCs w:val="22"/>
          <w:color w:val="283548"/>
        </w:rPr>
        <w:t xml:space="preserve">Have thoughtful questions ready to ask</w:t>
      </w:r>
    </w:p>
    <w:p>
      <w:pPr>
        <w:pStyle w:val="Heading1"/>
        <w:keepNext/>
      </w:pPr>
      <w:r>
        <w:rPr>
          <w:rFonts w:ascii="Calibri" w:hAnsi="Calibri"/>
        </w:rPr>
        <w:t xml:space="preserve">Day-before checklist</w:t>
      </w:r>
    </w:p>
    <w:p>
      <w:pPr>
        <w:numPr>
          <w:ilvl w:val="0"/>
          <w:numId w:val="1"/>
        </w:numPr>
        <w:spacing w:after="80" w:line="300" w:lineRule="auto"/>
      </w:pPr>
      <w:r>
        <w:rPr>
          <w:rFonts w:ascii="Calibri" w:hAnsi="Calibri"/>
          <w:sz w:val="22"/>
          <w:szCs w:val="22"/>
          <w:color w:val="283548"/>
        </w:rPr>
        <w:t xml:space="preserve">Confirm time, format, and who you are meeting.</w:t>
      </w:r>
    </w:p>
    <w:p>
      <w:pPr>
        <w:numPr>
          <w:ilvl w:val="0"/>
          <w:numId w:val="1"/>
        </w:numPr>
        <w:spacing w:after="80" w:line="300" w:lineRule="auto"/>
      </w:pPr>
      <w:r>
        <w:rPr>
          <w:rFonts w:ascii="Calibri" w:hAnsi="Calibri"/>
          <w:sz w:val="22"/>
          <w:szCs w:val="22"/>
          <w:color w:val="283548"/>
        </w:rPr>
        <w:t xml:space="preserve">Re-read your prepared answers and STAR stories once.</w:t>
      </w:r>
    </w:p>
    <w:p>
      <w:pPr>
        <w:numPr>
          <w:ilvl w:val="0"/>
          <w:numId w:val="1"/>
        </w:numPr>
        <w:spacing w:after="80" w:line="300" w:lineRule="auto"/>
      </w:pPr>
      <w:r>
        <w:rPr>
          <w:rFonts w:ascii="Calibri" w:hAnsi="Calibri"/>
          <w:sz w:val="22"/>
          <w:szCs w:val="22"/>
          <w:color w:val="283548"/>
        </w:rPr>
        <w:t xml:space="preserve">Test your tech if it is a video interview.</w:t>
      </w:r>
    </w:p>
    <w:p>
      <w:pPr>
        <w:numPr>
          <w:ilvl w:val="0"/>
          <w:numId w:val="1"/>
        </w:numPr>
        <w:spacing w:after="80" w:line="300" w:lineRule="auto"/>
      </w:pPr>
      <w:r>
        <w:rPr>
          <w:rFonts w:ascii="Calibri" w:hAnsi="Calibri"/>
          <w:sz w:val="22"/>
          <w:szCs w:val="22"/>
          <w:color w:val="283548"/>
        </w:rPr>
        <w:t xml:space="preserve">Prepare two genuine questions to ask them.</w:t>
      </w:r>
    </w:p>
    <w:p>
      <w:pPr>
        <w:numPr>
          <w:ilvl w:val="0"/>
          <w:numId w:val="1"/>
        </w:numPr>
        <w:spacing w:after="80" w:line="300" w:lineRule="auto"/>
      </w:pPr>
      <w:r>
        <w:rPr>
          <w:rFonts w:ascii="Calibri" w:hAnsi="Calibri"/>
          <w:sz w:val="22"/>
          <w:szCs w:val="22"/>
          <w:color w:val="283548"/>
        </w:rPr>
        <w:t xml:space="preserve">Get a good night of sleep — cramming rarely helps.</w:t>
      </w:r>
    </w:p>
    <w:p>
      <w:pPr>
        <w:pStyle w:val="Heading1"/>
        <w:keepNext/>
      </w:pPr>
      <w:r>
        <w:rPr>
          <w:rFonts w:ascii="Calibri" w:hAnsi="Calibri"/>
        </w:rPr>
        <w:t xml:space="preserve">Simple portfolio to bring</w:t>
      </w:r>
    </w:p>
    <w:p>
      <w:pPr>
        <w:numPr>
          <w:ilvl w:val="0"/>
          <w:numId w:val="1"/>
        </w:numPr>
        <w:spacing w:after="80" w:line="300" w:lineRule="auto"/>
      </w:pPr>
      <w:r>
        <w:rPr>
          <w:rFonts w:ascii="Calibri" w:hAnsi="Calibri"/>
          <w:sz w:val="22"/>
          <w:szCs w:val="22"/>
          <w:color w:val="283548"/>
        </w:rPr>
        <w:t xml:space="preserve">Your prepared answers to common questions.</w:t>
      </w:r>
    </w:p>
    <w:p>
      <w:pPr>
        <w:numPr>
          <w:ilvl w:val="0"/>
          <w:numId w:val="1"/>
        </w:numPr>
        <w:spacing w:after="80" w:line="300" w:lineRule="auto"/>
      </w:pPr>
      <w:r>
        <w:rPr>
          <w:rFonts w:ascii="Calibri" w:hAnsi="Calibri"/>
          <w:sz w:val="22"/>
          <w:szCs w:val="22"/>
          <w:color w:val="283548"/>
        </w:rPr>
        <w:t xml:space="preserve">Two STAR stories.</w:t>
      </w:r>
    </w:p>
    <w:p>
      <w:pPr>
        <w:numPr>
          <w:ilvl w:val="0"/>
          <w:numId w:val="1"/>
        </w:numPr>
        <w:spacing w:after="80" w:line="300" w:lineRule="auto"/>
      </w:pPr>
      <w:r>
        <w:rPr>
          <w:rFonts w:ascii="Calibri" w:hAnsi="Calibri"/>
          <w:sz w:val="22"/>
          <w:szCs w:val="22"/>
          <w:color w:val="283548"/>
        </w:rPr>
        <w:t xml:space="preserve">Your 30/60/90-day plan.</w:t>
      </w:r>
    </w:p>
    <w:p>
      <w:pPr>
        <w:numPr>
          <w:ilvl w:val="0"/>
          <w:numId w:val="1"/>
        </w:numPr>
        <w:spacing w:after="80" w:line="300" w:lineRule="auto"/>
      </w:pPr>
      <w:r>
        <w:rPr>
          <w:rFonts w:ascii="Calibri" w:hAnsi="Calibri"/>
          <w:sz w:val="22"/>
          <w:szCs w:val="22"/>
          <w:color w:val="283548"/>
        </w:rPr>
        <w:t xml:space="preserve">A note on the company and who they sell to.</w:t>
      </w:r>
    </w:p>
    <w:p>
      <w:pPr>
        <w:numPr>
          <w:ilvl w:val="0"/>
          <w:numId w:val="1"/>
        </w:numPr>
        <w:spacing w:after="80" w:line="300" w:lineRule="auto"/>
      </w:pPr>
      <w:r>
        <w:rPr>
          <w:rFonts w:ascii="Calibri" w:hAnsi="Calibri"/>
          <w:sz w:val="22"/>
          <w:szCs w:val="22"/>
          <w:color w:val="283548"/>
        </w:rPr>
        <w:t xml:space="preserve">Evidence of practice (roleplay scores, a rejection log summary).</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interview preparation connects honest evidence to the employer's real requirements. Answers should be structured enough to follow, flexible enough for dialogue, and precise about what you personally did and learned.</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Study the job description and company before completing the resource. Match your preparation to the actual role rather than a generic sales interview.</w:t>
      </w:r>
    </w:p>
    <w:p>
      <w:pPr>
        <w:numPr>
          <w:ilvl w:val="0"/>
          <w:numId w:val="2"/>
        </w:numPr>
        <w:spacing w:after="80" w:line="300" w:lineRule="auto"/>
      </w:pPr>
      <w:r>
        <w:rPr>
          <w:rFonts w:ascii="Calibri" w:hAnsi="Calibri"/>
          <w:sz w:val="22"/>
          <w:szCs w:val="22"/>
          <w:color w:val="283548"/>
        </w:rPr>
        <w:t xml:space="preserve">Build answers from real evidence: work, study, volunteering, projects, or deliberate practice. Label estimates honestly and never invent experience.</w:t>
      </w:r>
    </w:p>
    <w:p>
      <w:pPr>
        <w:numPr>
          <w:ilvl w:val="0"/>
          <w:numId w:val="2"/>
        </w:numPr>
        <w:spacing w:after="80" w:line="300" w:lineRule="auto"/>
      </w:pPr>
      <w:r>
        <w:rPr>
          <w:rFonts w:ascii="Calibri" w:hAnsi="Calibri"/>
          <w:sz w:val="22"/>
          <w:szCs w:val="22"/>
          <w:color w:val="283548"/>
        </w:rPr>
        <w:t xml:space="preserve">Practise aloud with a timer, then repeat with a follow-up question or interruption. Strong answers stay clear when the conversation changes.</w:t>
      </w:r>
    </w:p>
    <w:p>
      <w:pPr>
        <w:numPr>
          <w:ilvl w:val="0"/>
          <w:numId w:val="2"/>
        </w:numPr>
        <w:spacing w:after="80" w:line="300" w:lineRule="auto"/>
      </w:pPr>
      <w:r>
        <w:rPr>
          <w:rFonts w:ascii="Calibri" w:hAnsi="Calibri"/>
          <w:sz w:val="22"/>
          <w:szCs w:val="22"/>
          <w:color w:val="283548"/>
        </w:rPr>
        <w:t xml:space="preserve">Ask a reviewer or the AI Coach to score clarity, evidence, relevance, and concision. Convert broad feedback into one specific revision.</w:t>
      </w:r>
    </w:p>
    <w:p>
      <w:pPr>
        <w:numPr>
          <w:ilvl w:val="0"/>
          <w:numId w:val="2"/>
        </w:numPr>
        <w:spacing w:after="80" w:line="300" w:lineRule="auto"/>
      </w:pPr>
      <w:r>
        <w:rPr>
          <w:rFonts w:ascii="Calibri" w:hAnsi="Calibri"/>
          <w:sz w:val="22"/>
          <w:szCs w:val="22"/>
          <w:color w:val="283548"/>
        </w:rPr>
        <w:t xml:space="preserve">Prepare a concise version and a fuller version of each answer. Use the concise version first and add detail only when the interviewer asks.</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answer addresses the role requirement and the exact question asked.</w:t>
            </w:r>
          </w:p>
        </w:tc>
        <w:tc>
          <w:tcPr>
            <w:tcW w:w="4042" w:type="dxa"/>
            <w:vAlign w:val="center"/>
          </w:tcPr>
          <w:p>
            <w:pPr>
              <w:spacing w:after="40" w:line="280" w:lineRule="auto"/>
            </w:pPr>
            <w:r>
              <w:rPr>
                <w:rFonts w:ascii="Calibri" w:hAnsi="Calibri"/>
                <w:sz w:val="19"/>
                <w:szCs w:val="19"/>
                <w:color w:val="283548"/>
              </w:rPr>
              <w:t xml:space="preserve">A polished story is used even when it does not answer the question.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Actions, decisions, and results are specific and attributable.</w:t>
            </w:r>
          </w:p>
        </w:tc>
        <w:tc>
          <w:tcPr>
            <w:tcW w:w="4042" w:type="dxa"/>
            <w:vAlign w:val="center"/>
          </w:tcPr>
          <w:p>
            <w:pPr>
              <w:spacing w:after="40" w:line="280" w:lineRule="auto"/>
            </w:pPr>
            <w:r>
              <w:rPr>
                <w:rFonts w:ascii="Calibri" w:hAnsi="Calibri"/>
                <w:sz w:val="19"/>
                <w:szCs w:val="19"/>
                <w:color w:val="283548"/>
              </w:rPr>
              <w:t xml:space="preserve">Team outcomes are claimed as personal achievements.</w:t>
            </w:r>
          </w:p>
        </w:tc>
      </w:tr>
      <w:tr>
        <w:tc>
          <w:tcPr>
            <w:tcW w:w="1200" w:type="dxa"/>
            <w:vAlign w:val="center"/>
          </w:tcPr>
          <w:p>
            <w:pPr>
              <w:spacing w:after="40" w:line="280" w:lineRule="auto"/>
            </w:pPr>
            <w:r>
              <w:rPr>
                <w:rFonts w:ascii="Calibri" w:hAnsi="Calibri"/>
                <w:sz w:val="19"/>
                <w:szCs w:val="19"/>
                <w:color w:val="283548"/>
              </w:rPr>
              <w:t xml:space="preserve">Structure</w:t>
            </w:r>
          </w:p>
        </w:tc>
        <w:tc>
          <w:tcPr>
            <w:tcW w:w="4118" w:type="dxa"/>
            <w:vAlign w:val="center"/>
          </w:tcPr>
          <w:p>
            <w:pPr>
              <w:spacing w:after="40" w:line="280" w:lineRule="auto"/>
            </w:pPr>
            <w:r>
              <w:rPr>
                <w:rFonts w:ascii="Calibri" w:hAnsi="Calibri"/>
                <w:sz w:val="19"/>
                <w:szCs w:val="19"/>
                <w:color w:val="283548"/>
              </w:rPr>
              <w:t xml:space="preserve">The answer has a clear beginning, evidence, and conclusion.</w:t>
            </w:r>
          </w:p>
        </w:tc>
        <w:tc>
          <w:tcPr>
            <w:tcW w:w="4042" w:type="dxa"/>
            <w:vAlign w:val="center"/>
          </w:tcPr>
          <w:p>
            <w:pPr>
              <w:spacing w:after="40" w:line="280" w:lineRule="auto"/>
            </w:pPr>
            <w:r>
              <w:rPr>
                <w:rFonts w:ascii="Calibri" w:hAnsi="Calibri"/>
                <w:sz w:val="19"/>
                <w:szCs w:val="19"/>
                <w:color w:val="283548"/>
              </w:rPr>
              <w:t xml:space="preserve">Context expands while the important action remains vague.</w:t>
            </w:r>
          </w:p>
        </w:tc>
      </w:tr>
      <w:tr>
        <w:tc>
          <w:tcPr>
            <w:tcW w:w="1200" w:type="dxa"/>
            <w:vAlign w:val="center"/>
          </w:tcPr>
          <w:p>
            <w:pPr>
              <w:spacing w:after="40" w:line="280" w:lineRule="auto"/>
            </w:pPr>
            <w:r>
              <w:rPr>
                <w:rFonts w:ascii="Calibri" w:hAnsi="Calibri"/>
                <w:sz w:val="19"/>
                <w:szCs w:val="19"/>
                <w:color w:val="283548"/>
              </w:rPr>
              <w:t xml:space="preserve">Reflection</w:t>
            </w:r>
          </w:p>
        </w:tc>
        <w:tc>
          <w:tcPr>
            <w:tcW w:w="4118" w:type="dxa"/>
            <w:vAlign w:val="center"/>
          </w:tcPr>
          <w:p>
            <w:pPr>
              <w:spacing w:after="40" w:line="280" w:lineRule="auto"/>
            </w:pPr>
            <w:r>
              <w:rPr>
                <w:rFonts w:ascii="Calibri" w:hAnsi="Calibri"/>
                <w:sz w:val="19"/>
                <w:szCs w:val="19"/>
                <w:color w:val="283548"/>
              </w:rPr>
              <w:t xml:space="preserve">Learning and future application are stated honestly.</w:t>
            </w:r>
          </w:p>
        </w:tc>
        <w:tc>
          <w:tcPr>
            <w:tcW w:w="4042" w:type="dxa"/>
            <w:vAlign w:val="center"/>
          </w:tcPr>
          <w:p>
            <w:pPr>
              <w:spacing w:after="40" w:line="280" w:lineRule="auto"/>
            </w:pPr>
            <w:r>
              <w:rPr>
                <w:rFonts w:ascii="Calibri" w:hAnsi="Calibri"/>
                <w:sz w:val="19"/>
                <w:szCs w:val="19"/>
                <w:color w:val="283548"/>
              </w:rPr>
              <w:t xml:space="preserve">The answer ends with a result but shows no self-awareness.</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Time both a 60-90 second version and a fuller two-minute version of key answers.</w:t>
      </w:r>
    </w:p>
    <w:p>
      <w:pPr>
        <w:numPr>
          <w:ilvl w:val="0"/>
          <w:numId w:val="1"/>
        </w:numPr>
        <w:spacing w:after="80" w:line="300" w:lineRule="auto"/>
      </w:pPr>
      <w:r>
        <w:rPr>
          <w:rFonts w:ascii="Calibri" w:hAnsi="Calibri"/>
          <w:sz w:val="22"/>
          <w:szCs w:val="22"/>
          <w:color w:val="283548"/>
        </w:rPr>
        <w:t xml:space="preserve">Map every prepared example to the job requirement it supports.</w:t>
      </w:r>
    </w:p>
    <w:p>
      <w:pPr>
        <w:numPr>
          <w:ilvl w:val="0"/>
          <w:numId w:val="1"/>
        </w:numPr>
        <w:spacing w:after="80" w:line="300" w:lineRule="auto"/>
      </w:pPr>
      <w:r>
        <w:rPr>
          <w:rFonts w:ascii="Calibri" w:hAnsi="Calibri"/>
          <w:sz w:val="22"/>
          <w:szCs w:val="22"/>
          <w:color w:val="283548"/>
        </w:rPr>
        <w:t xml:space="preserve">Record follow-up questions you struggled with and strengthen the underlying evidence.</w:t>
      </w:r>
    </w:p>
    <w:p>
      <w:pPr>
        <w:numPr>
          <w:ilvl w:val="0"/>
          <w:numId w:val="1"/>
        </w:numPr>
        <w:spacing w:after="80" w:line="300" w:lineRule="auto"/>
      </w:pPr>
      <w:r>
        <w:rPr>
          <w:rFonts w:ascii="Calibri" w:hAnsi="Calibri"/>
          <w:sz w:val="22"/>
          <w:szCs w:val="22"/>
          <w:color w:val="283548"/>
        </w:rPr>
        <w:t xml:space="preserve">Review accuracy, clarity, and relevance before trying to sound more impressive.</w:t>
      </w:r>
    </w:p>
    <w:p>
      <w:pPr>
        <w:pStyle w:val="Heading1"/>
        <w:keepNext/>
      </w:pPr>
      <w:r>
        <w:rPr>
          <w:rFonts w:ascii="Calibri" w:hAnsi="Calibri"/>
        </w:rPr>
        <w:t xml:space="preserve">Worked example (questions to ask)</w:t>
      </w:r>
    </w:p>
    <w:p>
      <w:pPr>
        <w:spacing w:after="120" w:line="300" w:lineRule="auto"/>
      </w:pPr>
      <w:r>
        <w:rPr>
          <w:rFonts w:ascii="Calibri" w:hAnsi="Calibri"/>
          <w:sz w:val="22"/>
          <w:szCs w:val="22"/>
          <w:color w:val="283548"/>
        </w:rPr>
        <w:t xml:space="preserve">Good questions to ask: "What does a strong first 90 days look like here?" and "How does the team give SDRs feedback?" They show you think about growth and coachability, and they give you real information to decide if the role fits you.</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Bring genuine preparation, not fabricated results. A portfolio of honest practice evidence is impressive precisely because it is real. If you do not know an answer in the interview, it is fine to say so and explain how you would find out.</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