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First Five Minutes of a Discovery Call</w:t>
      </w:r>
    </w:p>
    <w:p>
      <w:pPr>
        <w:spacing w:after="100"/>
      </w:pPr>
      <w:r>
        <w:rPr>
          <w:rFonts w:ascii="Calibri" w:hAnsi="Calibri"/>
          <w:b/>
          <w:sz w:val="18"/>
          <w:szCs w:val="18"/>
          <w:color w:val="6B7280"/>
        </w:rPr>
        <w:t xml:space="preserve">SCRIPT | SKILL: DISCOVERY | DIFFICULTY: INTERMEDIATE | EST. 9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structure for opening a booked discovery call so the prospect knows the plan, agrees to it, and does most of the talking — instead of sitting through a premature pitch.</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Set a clear agenda and get agreement to it</w:t>
      </w:r>
    </w:p>
    <w:p>
      <w:pPr>
        <w:numPr>
          <w:ilvl w:val="0"/>
          <w:numId w:val="1"/>
        </w:numPr>
        <w:spacing w:after="80" w:line="300" w:lineRule="auto"/>
      </w:pPr>
      <w:r>
        <w:rPr>
          <w:rFonts w:ascii="Calibri" w:hAnsi="Calibri"/>
          <w:sz w:val="22"/>
          <w:szCs w:val="22"/>
          <w:color w:val="283548"/>
        </w:rPr>
        <w:t xml:space="preserve">Confirm how much time you actually have</w:t>
      </w:r>
    </w:p>
    <w:p>
      <w:pPr>
        <w:numPr>
          <w:ilvl w:val="0"/>
          <w:numId w:val="1"/>
        </w:numPr>
        <w:spacing w:after="80" w:line="300" w:lineRule="auto"/>
      </w:pPr>
      <w:r>
        <w:rPr>
          <w:rFonts w:ascii="Calibri" w:hAnsi="Calibri"/>
          <w:sz w:val="22"/>
          <w:szCs w:val="22"/>
          <w:color w:val="283548"/>
        </w:rPr>
        <w:t xml:space="preserve">Earn the right to ask questions before pitching</w:t>
      </w:r>
    </w:p>
    <w:p>
      <w:pPr>
        <w:numPr>
          <w:ilvl w:val="0"/>
          <w:numId w:val="1"/>
        </w:numPr>
        <w:spacing w:after="80" w:line="300" w:lineRule="auto"/>
      </w:pPr>
      <w:r>
        <w:rPr>
          <w:rFonts w:ascii="Calibri" w:hAnsi="Calibri"/>
          <w:sz w:val="22"/>
          <w:szCs w:val="22"/>
          <w:color w:val="283548"/>
        </w:rPr>
        <w:t xml:space="preserve">Hand the floor to the prospect early</w:t>
      </w:r>
    </w:p>
    <w:p>
      <w:pPr>
        <w:pStyle w:val="Heading1"/>
        <w:keepNext/>
      </w:pPr>
      <w:r>
        <w:rPr>
          <w:rFonts w:ascii="Calibri" w:hAnsi="Calibri"/>
        </w:rPr>
        <w:t xml:space="preserve">Open in this order</w:t>
      </w:r>
    </w:p>
    <w:p>
      <w:pPr>
        <w:numPr>
          <w:ilvl w:val="0"/>
          <w:numId w:val="2"/>
        </w:numPr>
        <w:spacing w:after="80" w:line="300" w:lineRule="auto"/>
      </w:pPr>
      <w:r>
        <w:rPr>
          <w:rFonts w:ascii="Calibri" w:hAnsi="Calibri"/>
          <w:sz w:val="22"/>
          <w:szCs w:val="22"/>
          <w:color w:val="283548"/>
        </w:rPr>
        <w:t xml:space="preserve">Thank them and restate why the meeting is happening, in one line.</w:t>
      </w:r>
    </w:p>
    <w:p>
      <w:pPr>
        <w:numPr>
          <w:ilvl w:val="0"/>
          <w:numId w:val="2"/>
        </w:numPr>
        <w:spacing w:after="80" w:line="300" w:lineRule="auto"/>
      </w:pPr>
      <w:r>
        <w:rPr>
          <w:rFonts w:ascii="Calibri" w:hAnsi="Calibri"/>
          <w:sz w:val="22"/>
          <w:szCs w:val="22"/>
          <w:color w:val="283548"/>
        </w:rPr>
        <w:t xml:space="preserve">Propose a simple agenda and ask if it works for them.</w:t>
      </w:r>
    </w:p>
    <w:p>
      <w:pPr>
        <w:numPr>
          <w:ilvl w:val="0"/>
          <w:numId w:val="2"/>
        </w:numPr>
        <w:spacing w:after="80" w:line="300" w:lineRule="auto"/>
      </w:pPr>
      <w:r>
        <w:rPr>
          <w:rFonts w:ascii="Calibri" w:hAnsi="Calibri"/>
          <w:sz w:val="22"/>
          <w:szCs w:val="22"/>
          <w:color w:val="283548"/>
        </w:rPr>
        <w:t xml:space="preserve">Confirm the time you have so you can pace the call.</w:t>
      </w:r>
    </w:p>
    <w:p>
      <w:pPr>
        <w:numPr>
          <w:ilvl w:val="0"/>
          <w:numId w:val="2"/>
        </w:numPr>
        <w:spacing w:after="80" w:line="300" w:lineRule="auto"/>
      </w:pPr>
      <w:r>
        <w:rPr>
          <w:rFonts w:ascii="Calibri" w:hAnsi="Calibri"/>
          <w:sz w:val="22"/>
          <w:szCs w:val="22"/>
          <w:color w:val="283548"/>
        </w:rPr>
        <w:t xml:space="preserve">Ask an opening question and then listen more than you talk.</w:t>
      </w:r>
    </w:p>
    <w:p>
      <w:pPr>
        <w:pStyle w:val="Heading1"/>
        <w:keepNext/>
      </w:pPr>
      <w:r>
        <w:rPr>
          <w:rFonts w:ascii="Calibri" w:hAnsi="Calibri"/>
        </w:rPr>
        <w:t xml:space="preserve">Agreement checks</w:t>
      </w:r>
    </w:p>
    <w:p>
      <w:pPr>
        <w:numPr>
          <w:ilvl w:val="0"/>
          <w:numId w:val="1"/>
        </w:numPr>
        <w:spacing w:after="80" w:line="300" w:lineRule="auto"/>
      </w:pPr>
      <w:r>
        <w:rPr>
          <w:rFonts w:ascii="Calibri" w:hAnsi="Calibri"/>
          <w:sz w:val="22"/>
          <w:szCs w:val="22"/>
          <w:color w:val="283548"/>
        </w:rPr>
        <w:t xml:space="preserve">"Does that agenda work, or is there something you want to add?"</w:t>
      </w:r>
    </w:p>
    <w:p>
      <w:pPr>
        <w:numPr>
          <w:ilvl w:val="0"/>
          <w:numId w:val="1"/>
        </w:numPr>
        <w:spacing w:after="80" w:line="300" w:lineRule="auto"/>
      </w:pPr>
      <w:r>
        <w:rPr>
          <w:rFonts w:ascii="Calibri" w:hAnsi="Calibri"/>
          <w:sz w:val="22"/>
          <w:szCs w:val="22"/>
          <w:color w:val="283548"/>
        </w:rPr>
        <w:t xml:space="preserve">"Do we still have the full 30 minutes, or should I be tighter?"</w:t>
      </w:r>
    </w:p>
    <w:p>
      <w:pPr>
        <w:numPr>
          <w:ilvl w:val="0"/>
          <w:numId w:val="1"/>
        </w:numPr>
        <w:spacing w:after="80" w:line="300" w:lineRule="auto"/>
      </w:pPr>
      <w:r>
        <w:rPr>
          <w:rFonts w:ascii="Calibri" w:hAnsi="Calibri"/>
          <w:sz w:val="22"/>
          <w:szCs w:val="22"/>
          <w:color w:val="283548"/>
        </w:rPr>
        <w:t xml:space="preserve">"Mind if I start with a couple of questions before I explain anything?"</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discovery helps both sides understand the current situation, impact, priorities, and decision process. Questions should follow what the person says rather than forcing a predetermined qualification path.</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Research the account and role before editing the script. Record one observable business signal, one plausible problem to test, and the source that supports the signal.</w:t>
      </w:r>
    </w:p>
    <w:p>
      <w:pPr>
        <w:numPr>
          <w:ilvl w:val="0"/>
          <w:numId w:val="2"/>
        </w:numPr>
        <w:spacing w:after="80" w:line="300" w:lineRule="auto"/>
      </w:pPr>
      <w:r>
        <w:rPr>
          <w:rFonts w:ascii="Calibri" w:hAnsi="Calibri"/>
          <w:sz w:val="22"/>
          <w:szCs w:val="22"/>
          <w:color w:val="283548"/>
        </w:rPr>
        <w:t xml:space="preserve">Replace every bracketed placeholder with plain language you would genuinely use. Remove claims, customer names, statistics, and urgency that you cannot verify.</w:t>
      </w:r>
    </w:p>
    <w:p>
      <w:pPr>
        <w:numPr>
          <w:ilvl w:val="0"/>
          <w:numId w:val="2"/>
        </w:numPr>
        <w:spacing w:after="80" w:line="300" w:lineRule="auto"/>
      </w:pPr>
      <w:r>
        <w:rPr>
          <w:rFonts w:ascii="Calibri" w:hAnsi="Calibri"/>
          <w:sz w:val="22"/>
          <w:szCs w:val="22"/>
          <w:color w:val="283548"/>
        </w:rPr>
        <w:t xml:space="preserve">Read the script aloud at normal speed. Shorten any sentence that forces you to rush, breathe in the middle, or sound as if you are reading.</w:t>
      </w:r>
    </w:p>
    <w:p>
      <w:pPr>
        <w:numPr>
          <w:ilvl w:val="0"/>
          <w:numId w:val="2"/>
        </w:numPr>
        <w:spacing w:after="80" w:line="300" w:lineRule="auto"/>
      </w:pPr>
      <w:r>
        <w:rPr>
          <w:rFonts w:ascii="Calibri" w:hAnsi="Calibri"/>
          <w:sz w:val="22"/>
          <w:szCs w:val="22"/>
          <w:color w:val="283548"/>
        </w:rPr>
        <w:t xml:space="preserve">Practise three variations: the intended flow, an early interruption, and a clear no. The goal is calm adaptation, not perfect memorisation.</w:t>
      </w:r>
    </w:p>
    <w:p>
      <w:pPr>
        <w:numPr>
          <w:ilvl w:val="0"/>
          <w:numId w:val="2"/>
        </w:numPr>
        <w:spacing w:after="80" w:line="300" w:lineRule="auto"/>
      </w:pPr>
      <w:r>
        <w:rPr>
          <w:rFonts w:ascii="Calibri" w:hAnsi="Calibri"/>
          <w:sz w:val="22"/>
          <w:szCs w:val="22"/>
          <w:color w:val="283548"/>
        </w:rPr>
        <w:t xml:space="preserve">After use, record only the outcome category and one learning point. Adjust one line at a time so you know which change improved clarity or relevance.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440"/>
        <w:gridCol w:w="3960"/>
        <w:gridCol w:w="3960"/>
      </w:tblGrid>
      <w:tr>
        <w:trPr>
          <w:tblHeader/>
        </w:trPr>
        <w:tc>
          <w:tcPr>
            <w:tcW w:w="144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3960"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3960"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440" w:type="dxa"/>
            <w:vAlign w:val="center"/>
          </w:tcPr>
          <w:p>
            <w:pPr>
              <w:spacing w:after="40" w:line="280" w:lineRule="auto"/>
            </w:pPr>
            <w:r>
              <w:rPr>
                <w:rFonts w:ascii="Calibri" w:hAnsi="Calibri"/>
                <w:sz w:val="19"/>
                <w:szCs w:val="19"/>
                <w:color w:val="283548"/>
              </w:rPr>
              <w:t xml:space="preserve">Agenda</w:t>
            </w:r>
          </w:p>
        </w:tc>
        <w:tc>
          <w:tcPr>
            <w:tcW w:w="3960" w:type="dxa"/>
            <w:vAlign w:val="center"/>
          </w:tcPr>
          <w:p>
            <w:pPr>
              <w:spacing w:after="40" w:line="280" w:lineRule="auto"/>
            </w:pPr>
            <w:r>
              <w:rPr>
                <w:rFonts w:ascii="Calibri" w:hAnsi="Calibri"/>
                <w:sz w:val="19"/>
                <w:szCs w:val="19"/>
                <w:color w:val="283548"/>
              </w:rPr>
              <w:t xml:space="preserve">Purpose, available time, and desired outcome are confirmed together.</w:t>
            </w:r>
          </w:p>
        </w:tc>
        <w:tc>
          <w:tcPr>
            <w:tcW w:w="3960" w:type="dxa"/>
            <w:vAlign w:val="center"/>
          </w:tcPr>
          <w:p>
            <w:pPr>
              <w:spacing w:after="40" w:line="280" w:lineRule="auto"/>
            </w:pPr>
            <w:r>
              <w:rPr>
                <w:rFonts w:ascii="Calibri" w:hAnsi="Calibri"/>
                <w:sz w:val="19"/>
                <w:szCs w:val="19"/>
                <w:color w:val="283548"/>
              </w:rPr>
              <w:t xml:space="preserve">The seller starts interrogating without setting context.</w:t>
            </w:r>
          </w:p>
        </w:tc>
      </w:tr>
      <w:tr>
        <w:tc>
          <w:tcPr>
            <w:tcW w:w="1440" w:type="dxa"/>
            <w:vAlign w:val="center"/>
          </w:tcPr>
          <w:p>
            <w:pPr>
              <w:spacing w:after="40" w:line="280" w:lineRule="auto"/>
            </w:pPr>
            <w:r>
              <w:rPr>
                <w:rFonts w:ascii="Calibri" w:hAnsi="Calibri"/>
                <w:sz w:val="19"/>
                <w:szCs w:val="19"/>
                <w:color w:val="283548"/>
              </w:rPr>
              <w:t xml:space="preserve">Question quality</w:t>
            </w:r>
          </w:p>
        </w:tc>
        <w:tc>
          <w:tcPr>
            <w:tcW w:w="3960" w:type="dxa"/>
            <w:vAlign w:val="center"/>
          </w:tcPr>
          <w:p>
            <w:pPr>
              <w:spacing w:after="40" w:line="280" w:lineRule="auto"/>
            </w:pPr>
            <w:r>
              <w:rPr>
                <w:rFonts w:ascii="Calibri" w:hAnsi="Calibri"/>
                <w:sz w:val="19"/>
                <w:szCs w:val="19"/>
                <w:color w:val="283548"/>
              </w:rPr>
              <w:t xml:space="preserve">Questions are open, neutral, and connected to the previous answer.</w:t>
            </w:r>
          </w:p>
        </w:tc>
        <w:tc>
          <w:tcPr>
            <w:tcW w:w="3960" w:type="dxa"/>
            <w:vAlign w:val="center"/>
          </w:tcPr>
          <w:p>
            <w:pPr>
              <w:spacing w:after="40" w:line="280" w:lineRule="auto"/>
            </w:pPr>
            <w:r>
              <w:rPr>
                <w:rFonts w:ascii="Calibri" w:hAnsi="Calibri"/>
                <w:sz w:val="19"/>
                <w:szCs w:val="19"/>
                <w:color w:val="283548"/>
              </w:rPr>
              <w:t xml:space="preserve">Questions are leading, stacked, or designed to trap agreement.</w:t>
            </w:r>
          </w:p>
        </w:tc>
      </w:tr>
      <w:tr>
        <w:tc>
          <w:tcPr>
            <w:tcW w:w="1440" w:type="dxa"/>
            <w:vAlign w:val="center"/>
          </w:tcPr>
          <w:p>
            <w:pPr>
              <w:spacing w:after="40" w:line="280" w:lineRule="auto"/>
            </w:pPr>
            <w:r>
              <w:rPr>
                <w:rFonts w:ascii="Calibri" w:hAnsi="Calibri"/>
                <w:sz w:val="19"/>
                <w:szCs w:val="19"/>
                <w:color w:val="283548"/>
              </w:rPr>
              <w:t xml:space="preserve">Depth</w:t>
            </w:r>
          </w:p>
        </w:tc>
        <w:tc>
          <w:tcPr>
            <w:tcW w:w="3960" w:type="dxa"/>
            <w:vAlign w:val="center"/>
          </w:tcPr>
          <w:p>
            <w:pPr>
              <w:spacing w:after="40" w:line="280" w:lineRule="auto"/>
            </w:pPr>
            <w:r>
              <w:rPr>
                <w:rFonts w:ascii="Calibri" w:hAnsi="Calibri"/>
                <w:sz w:val="19"/>
                <w:szCs w:val="19"/>
                <w:color w:val="283548"/>
              </w:rPr>
              <w:t xml:space="preserve">Specific examples and consequences are explored with permission.</w:t>
            </w:r>
          </w:p>
        </w:tc>
        <w:tc>
          <w:tcPr>
            <w:tcW w:w="3960" w:type="dxa"/>
            <w:vAlign w:val="center"/>
          </w:tcPr>
          <w:p>
            <w:pPr>
              <w:spacing w:after="40" w:line="280" w:lineRule="auto"/>
            </w:pPr>
            <w:r>
              <w:rPr>
                <w:rFonts w:ascii="Calibri" w:hAnsi="Calibri"/>
                <w:sz w:val="19"/>
                <w:szCs w:val="19"/>
                <w:color w:val="283548"/>
              </w:rPr>
              <w:t xml:space="preserve">The conversation stays abstract or rushes to a solution.</w:t>
            </w:r>
          </w:p>
        </w:tc>
      </w:tr>
      <w:tr>
        <w:tc>
          <w:tcPr>
            <w:tcW w:w="1440" w:type="dxa"/>
            <w:vAlign w:val="center"/>
          </w:tcPr>
          <w:p>
            <w:pPr>
              <w:spacing w:after="40" w:line="280" w:lineRule="auto"/>
            </w:pPr>
            <w:r>
              <w:rPr>
                <w:rFonts w:ascii="Calibri" w:hAnsi="Calibri"/>
                <w:sz w:val="19"/>
                <w:szCs w:val="19"/>
                <w:color w:val="283548"/>
              </w:rPr>
              <w:t xml:space="preserve">Recap</w:t>
            </w:r>
          </w:p>
        </w:tc>
        <w:tc>
          <w:tcPr>
            <w:tcW w:w="3960" w:type="dxa"/>
            <w:vAlign w:val="center"/>
          </w:tcPr>
          <w:p>
            <w:pPr>
              <w:spacing w:after="40" w:line="280" w:lineRule="auto"/>
            </w:pPr>
            <w:r>
              <w:rPr>
                <w:rFonts w:ascii="Calibri" w:hAnsi="Calibri"/>
                <w:sz w:val="19"/>
                <w:szCs w:val="19"/>
                <w:color w:val="283548"/>
              </w:rPr>
              <w:t xml:space="preserve">Facts, assumptions, priorities, and next steps are summarised accurately.</w:t>
            </w:r>
          </w:p>
        </w:tc>
        <w:tc>
          <w:tcPr>
            <w:tcW w:w="3960" w:type="dxa"/>
            <w:vAlign w:val="center"/>
          </w:tcPr>
          <w:p>
            <w:pPr>
              <w:spacing w:after="40" w:line="280" w:lineRule="auto"/>
            </w:pPr>
            <w:r>
              <w:rPr>
                <w:rFonts w:ascii="Calibri" w:hAnsi="Calibri"/>
                <w:sz w:val="19"/>
                <w:szCs w:val="19"/>
                <w:color w:val="283548"/>
              </w:rPr>
              <w:t xml:space="preserve">The seller paraphrases the answer into a stronger claim than was made.</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Review talk balance alongside question quality; a lower talk ratio is not automatically better.</w:t>
      </w:r>
    </w:p>
    <w:p>
      <w:pPr>
        <w:numPr>
          <w:ilvl w:val="0"/>
          <w:numId w:val="1"/>
        </w:numPr>
        <w:spacing w:after="80" w:line="300" w:lineRule="auto"/>
      </w:pPr>
      <w:r>
        <w:rPr>
          <w:rFonts w:ascii="Calibri" w:hAnsi="Calibri"/>
          <w:sz w:val="22"/>
          <w:szCs w:val="22"/>
          <w:color w:val="283548"/>
        </w:rPr>
        <w:t xml:space="preserve">Count how many important facts were confirmed in the final recap rather than assumed.</w:t>
      </w:r>
    </w:p>
    <w:p>
      <w:pPr>
        <w:numPr>
          <w:ilvl w:val="0"/>
          <w:numId w:val="1"/>
        </w:numPr>
        <w:spacing w:after="80" w:line="300" w:lineRule="auto"/>
      </w:pPr>
      <w:r>
        <w:rPr>
          <w:rFonts w:ascii="Calibri" w:hAnsi="Calibri"/>
          <w:sz w:val="22"/>
          <w:szCs w:val="22"/>
          <w:color w:val="283548"/>
        </w:rPr>
        <w:t xml:space="preserve">Note unanswered questions and agree whether they matter before scheduling another step.</w:t>
      </w:r>
    </w:p>
    <w:p>
      <w:pPr>
        <w:numPr>
          <w:ilvl w:val="0"/>
          <w:numId w:val="1"/>
        </w:numPr>
        <w:spacing w:after="80" w:line="300" w:lineRule="auto"/>
      </w:pPr>
      <w:r>
        <w:rPr>
          <w:rFonts w:ascii="Calibri" w:hAnsi="Calibri"/>
          <w:sz w:val="22"/>
          <w:szCs w:val="22"/>
          <w:color w:val="283548"/>
        </w:rPr>
        <w:t xml:space="preserve">Evaluate whether the proposed next step follows logically from the stated priority.</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"Thanks for making time, Priya. My understanding is we are here because weekend coverage has been slipping — is that right? I was thinking we spend most of this on your side of it, then I will show only what is actually relevant, and we decide together on a next step. Does that work? And do we still have the full half hour? Great — mind if I start with a few questions?"</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Do not skip straight to a pitch because you are nervous about the silence — a discovery call the prospect did not shape feels like an ambush. Only restate the meeting reason if it is accurate. If they have less time than expected, adjust honestly rather than rushing them.</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