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Meeting Confirmation &amp; No-Show Prevention</w:t>
      </w:r>
    </w:p>
    <w:p>
      <w:pPr>
        <w:spacing w:after="100"/>
      </w:pPr>
      <w:r>
        <w:rPr>
          <w:rFonts w:ascii="Calibri" w:hAnsi="Calibri"/>
          <w:b/>
          <w:sz w:val="18"/>
          <w:szCs w:val="18"/>
          <w:color w:val="6B7280"/>
        </w:rPr>
        <w:t xml:space="preserve">SCRIPT | SKILL: BOOKING | DIFFICULTY: BEGINNER | EST. 6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short confirmation touch — call or message — that locks in a booked meeting by restating the value, the time, and an easy way to reschedule, so no-shows drop without nagging.</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Restate the meeting time and what it will cover</w:t>
      </w:r>
    </w:p>
    <w:p>
      <w:pPr>
        <w:numPr>
          <w:ilvl w:val="0"/>
          <w:numId w:val="1"/>
        </w:numPr>
        <w:spacing w:after="80" w:line="300" w:lineRule="auto"/>
      </w:pPr>
      <w:r>
        <w:rPr>
          <w:rFonts w:ascii="Calibri" w:hAnsi="Calibri"/>
          <w:sz w:val="22"/>
          <w:szCs w:val="22"/>
          <w:color w:val="283548"/>
        </w:rPr>
        <w:t xml:space="preserve">Remind them of the value they will get</w:t>
      </w:r>
    </w:p>
    <w:p>
      <w:pPr>
        <w:numPr>
          <w:ilvl w:val="0"/>
          <w:numId w:val="1"/>
        </w:numPr>
        <w:spacing w:after="80" w:line="300" w:lineRule="auto"/>
      </w:pPr>
      <w:r>
        <w:rPr>
          <w:rFonts w:ascii="Calibri" w:hAnsi="Calibri"/>
          <w:sz w:val="22"/>
          <w:szCs w:val="22"/>
          <w:color w:val="283548"/>
        </w:rPr>
        <w:t xml:space="preserve">Make rescheduling easy and guilt-free</w:t>
      </w:r>
    </w:p>
    <w:p>
      <w:pPr>
        <w:numPr>
          <w:ilvl w:val="0"/>
          <w:numId w:val="1"/>
        </w:numPr>
        <w:spacing w:after="80" w:line="300" w:lineRule="auto"/>
      </w:pPr>
      <w:r>
        <w:rPr>
          <w:rFonts w:ascii="Calibri" w:hAnsi="Calibri"/>
          <w:sz w:val="22"/>
          <w:szCs w:val="22"/>
          <w:color w:val="283548"/>
        </w:rPr>
        <w:t xml:space="preserve">Reduce no-shows without pressure</w:t>
      </w:r>
    </w:p>
    <w:p>
      <w:pPr>
        <w:pStyle w:val="Heading1"/>
        <w:keepNext/>
      </w:pPr>
      <w:r>
        <w:rPr>
          <w:rFonts w:ascii="Calibri" w:hAnsi="Calibri"/>
        </w:rPr>
        <w:t xml:space="preserve">Confirm in three parts</w:t>
      </w:r>
    </w:p>
    <w:p>
      <w:pPr>
        <w:numPr>
          <w:ilvl w:val="0"/>
          <w:numId w:val="2"/>
        </w:numPr>
        <w:spacing w:after="80" w:line="300" w:lineRule="auto"/>
      </w:pPr>
      <w:r>
        <w:rPr>
          <w:rFonts w:ascii="Calibri" w:hAnsi="Calibri"/>
          <w:sz w:val="22"/>
          <w:szCs w:val="22"/>
          <w:color w:val="283548"/>
        </w:rPr>
        <w:t xml:space="preserve">Restate the day, time, and how long it will take.</w:t>
      </w:r>
    </w:p>
    <w:p>
      <w:pPr>
        <w:numPr>
          <w:ilvl w:val="0"/>
          <w:numId w:val="2"/>
        </w:numPr>
        <w:spacing w:after="80" w:line="300" w:lineRule="auto"/>
      </w:pPr>
      <w:r>
        <w:rPr>
          <w:rFonts w:ascii="Calibri" w:hAnsi="Calibri"/>
          <w:sz w:val="22"/>
          <w:szCs w:val="22"/>
          <w:color w:val="283548"/>
        </w:rPr>
        <w:t xml:space="preserve">Remind them of the one useful thing they will walk away with.</w:t>
      </w:r>
    </w:p>
    <w:p>
      <w:pPr>
        <w:numPr>
          <w:ilvl w:val="0"/>
          <w:numId w:val="2"/>
        </w:numPr>
        <w:spacing w:after="80" w:line="300" w:lineRule="auto"/>
      </w:pPr>
      <w:r>
        <w:rPr>
          <w:rFonts w:ascii="Calibri" w:hAnsi="Calibri"/>
          <w:sz w:val="22"/>
          <w:szCs w:val="22"/>
          <w:color w:val="283548"/>
        </w:rPr>
        <w:t xml:space="preserve">Offer an easy reschedule path in case something comes up.</w:t>
      </w:r>
    </w:p>
    <w:p>
      <w:pPr>
        <w:pStyle w:val="Heading1"/>
        <w:keepNext/>
      </w:pPr>
      <w:r>
        <w:rPr>
          <w:rFonts w:ascii="Calibri" w:hAnsi="Calibri"/>
        </w:rPr>
        <w:t xml:space="preserve">Why this lowers no-shows</w:t>
      </w:r>
    </w:p>
    <w:p>
      <w:pPr>
        <w:numPr>
          <w:ilvl w:val="0"/>
          <w:numId w:val="1"/>
        </w:numPr>
        <w:spacing w:after="80" w:line="300" w:lineRule="auto"/>
      </w:pPr>
      <w:r>
        <w:rPr>
          <w:rFonts w:ascii="Calibri" w:hAnsi="Calibri"/>
          <w:sz w:val="22"/>
          <w:szCs w:val="22"/>
          <w:color w:val="283548"/>
        </w:rPr>
        <w:t xml:space="preserve">A concrete, valuable reason to attend beats a bare calendar hold.</w:t>
      </w:r>
    </w:p>
    <w:p>
      <w:pPr>
        <w:numPr>
          <w:ilvl w:val="0"/>
          <w:numId w:val="1"/>
        </w:numPr>
        <w:spacing w:after="80" w:line="300" w:lineRule="auto"/>
      </w:pPr>
      <w:r>
        <w:rPr>
          <w:rFonts w:ascii="Calibri" w:hAnsi="Calibri"/>
          <w:sz w:val="22"/>
          <w:szCs w:val="22"/>
          <w:color w:val="283548"/>
        </w:rPr>
        <w:t xml:space="preserve">An easy reschedule option turns a would-be no-show into a new time.</w:t>
      </w:r>
    </w:p>
    <w:p>
      <w:pPr>
        <w:numPr>
          <w:ilvl w:val="0"/>
          <w:numId w:val="1"/>
        </w:numPr>
        <w:spacing w:after="80" w:line="300" w:lineRule="auto"/>
      </w:pPr>
      <w:r>
        <w:rPr>
          <w:rFonts w:ascii="Calibri" w:hAnsi="Calibri"/>
          <w:sz w:val="22"/>
          <w:szCs w:val="22"/>
          <w:color w:val="283548"/>
        </w:rPr>
        <w:t xml:space="preserve">A friendly tone makes them more likely to actually show up.</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A high-quality meeting is a mutually understood next step with a clear purpose, the right people, and realistic timing. Booking volume is not useful when the attendee does not understand why the meeting exists.</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Research the account and role before editing the script. Record one observable business signal, one plausible problem to test, and the source that supports the signal.</w:t>
      </w:r>
    </w:p>
    <w:p>
      <w:pPr>
        <w:numPr>
          <w:ilvl w:val="0"/>
          <w:numId w:val="2"/>
        </w:numPr>
        <w:spacing w:after="80" w:line="300" w:lineRule="auto"/>
      </w:pPr>
      <w:r>
        <w:rPr>
          <w:rFonts w:ascii="Calibri" w:hAnsi="Calibri"/>
          <w:sz w:val="22"/>
          <w:szCs w:val="22"/>
          <w:color w:val="283548"/>
        </w:rPr>
        <w:t xml:space="preserve">Replace every bracketed placeholder with plain language you would genuinely use. Remove claims, customer names, statistics, and urgency that you cannot verify.</w:t>
      </w:r>
    </w:p>
    <w:p>
      <w:pPr>
        <w:numPr>
          <w:ilvl w:val="0"/>
          <w:numId w:val="2"/>
        </w:numPr>
        <w:spacing w:after="80" w:line="300" w:lineRule="auto"/>
      </w:pPr>
      <w:r>
        <w:rPr>
          <w:rFonts w:ascii="Calibri" w:hAnsi="Calibri"/>
          <w:sz w:val="22"/>
          <w:szCs w:val="22"/>
          <w:color w:val="283548"/>
        </w:rPr>
        <w:t xml:space="preserve">Read the script aloud at normal speed. Shorten any sentence that forces you to rush, breathe in the middle, or sound as if you are reading.</w:t>
      </w:r>
    </w:p>
    <w:p>
      <w:pPr>
        <w:numPr>
          <w:ilvl w:val="0"/>
          <w:numId w:val="2"/>
        </w:numPr>
        <w:spacing w:after="80" w:line="300" w:lineRule="auto"/>
      </w:pPr>
      <w:r>
        <w:rPr>
          <w:rFonts w:ascii="Calibri" w:hAnsi="Calibri"/>
          <w:sz w:val="22"/>
          <w:szCs w:val="22"/>
          <w:color w:val="283548"/>
        </w:rPr>
        <w:t xml:space="preserve">Practise three variations: the intended flow, an early interruption, and a clear no. The goal is calm adaptation, not perfect memorisation.</w:t>
      </w:r>
    </w:p>
    <w:p>
      <w:pPr>
        <w:numPr>
          <w:ilvl w:val="0"/>
          <w:numId w:val="2"/>
        </w:numPr>
        <w:spacing w:after="80" w:line="300" w:lineRule="auto"/>
      </w:pPr>
      <w:r>
        <w:rPr>
          <w:rFonts w:ascii="Calibri" w:hAnsi="Calibri"/>
          <w:sz w:val="22"/>
          <w:szCs w:val="22"/>
          <w:color w:val="283548"/>
        </w:rPr>
        <w:t xml:space="preserve">After use, record only the outcome category and one learning point. Adjust one line at a time so you know which change improved clarity or relevance.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Interest</w:t>
            </w:r>
          </w:p>
        </w:tc>
        <w:tc>
          <w:tcPr>
            <w:tcW w:w="4118" w:type="dxa"/>
            <w:vAlign w:val="center"/>
          </w:tcPr>
          <w:p>
            <w:pPr>
              <w:spacing w:after="40" w:line="280" w:lineRule="auto"/>
            </w:pPr>
            <w:r>
              <w:rPr>
                <w:rFonts w:ascii="Calibri" w:hAnsi="Calibri"/>
                <w:sz w:val="19"/>
                <w:szCs w:val="19"/>
                <w:color w:val="283548"/>
              </w:rPr>
              <w:t xml:space="preserve">The prospect has confirmed a relevant reason to continue.</w:t>
            </w:r>
          </w:p>
        </w:tc>
        <w:tc>
          <w:tcPr>
            <w:tcW w:w="4042" w:type="dxa"/>
            <w:vAlign w:val="center"/>
          </w:tcPr>
          <w:p>
            <w:pPr>
              <w:spacing w:after="40" w:line="280" w:lineRule="auto"/>
            </w:pPr>
            <w:r>
              <w:rPr>
                <w:rFonts w:ascii="Calibri" w:hAnsi="Calibri"/>
                <w:sz w:val="19"/>
                <w:szCs w:val="19"/>
                <w:color w:val="283548"/>
              </w:rPr>
              <w:t xml:space="preserve">Calendar options are offered before interest is established.</w:t>
            </w:r>
          </w:p>
        </w:tc>
      </w:tr>
      <w:tr>
        <w:tc>
          <w:tcPr>
            <w:tcW w:w="1200" w:type="dxa"/>
            <w:vAlign w:val="center"/>
          </w:tcPr>
          <w:p>
            <w:pPr>
              <w:spacing w:after="40" w:line="280" w:lineRule="auto"/>
            </w:pPr>
            <w:r>
              <w:rPr>
                <w:rFonts w:ascii="Calibri" w:hAnsi="Calibri"/>
                <w:sz w:val="19"/>
                <w:szCs w:val="19"/>
                <w:color w:val="283548"/>
              </w:rPr>
              <w:t xml:space="preserve">Purpose</w:t>
            </w:r>
          </w:p>
        </w:tc>
        <w:tc>
          <w:tcPr>
            <w:tcW w:w="4118" w:type="dxa"/>
            <w:vAlign w:val="center"/>
          </w:tcPr>
          <w:p>
            <w:pPr>
              <w:spacing w:after="40" w:line="280" w:lineRule="auto"/>
            </w:pPr>
            <w:r>
              <w:rPr>
                <w:rFonts w:ascii="Calibri" w:hAnsi="Calibri"/>
                <w:sz w:val="19"/>
                <w:szCs w:val="19"/>
                <w:color w:val="283548"/>
              </w:rPr>
              <w:t xml:space="preserve">The invite states the decision, problem, or question the meeting will cover.</w:t>
            </w:r>
          </w:p>
        </w:tc>
        <w:tc>
          <w:tcPr>
            <w:tcW w:w="4042" w:type="dxa"/>
            <w:vAlign w:val="center"/>
          </w:tcPr>
          <w:p>
            <w:pPr>
              <w:spacing w:after="40" w:line="280" w:lineRule="auto"/>
            </w:pPr>
            <w:r>
              <w:rPr>
                <w:rFonts w:ascii="Calibri" w:hAnsi="Calibri"/>
                <w:sz w:val="19"/>
                <w:szCs w:val="19"/>
                <w:color w:val="283548"/>
              </w:rPr>
              <w:t xml:space="preserve">The invite uses vague language such as quick chat or touch base.</w:t>
            </w:r>
          </w:p>
        </w:tc>
      </w:tr>
      <w:tr>
        <w:tc>
          <w:tcPr>
            <w:tcW w:w="1200" w:type="dxa"/>
            <w:vAlign w:val="center"/>
          </w:tcPr>
          <w:p>
            <w:pPr>
              <w:spacing w:after="40" w:line="280" w:lineRule="auto"/>
            </w:pPr>
            <w:r>
              <w:rPr>
                <w:rFonts w:ascii="Calibri" w:hAnsi="Calibri"/>
                <w:sz w:val="19"/>
                <w:szCs w:val="19"/>
                <w:color w:val="283548"/>
              </w:rPr>
              <w:t xml:space="preserve">Logistics</w:t>
            </w:r>
          </w:p>
        </w:tc>
        <w:tc>
          <w:tcPr>
            <w:tcW w:w="4118" w:type="dxa"/>
            <w:vAlign w:val="center"/>
          </w:tcPr>
          <w:p>
            <w:pPr>
              <w:spacing w:after="40" w:line="280" w:lineRule="auto"/>
            </w:pPr>
            <w:r>
              <w:rPr>
                <w:rFonts w:ascii="Calibri" w:hAnsi="Calibri"/>
                <w:sz w:val="19"/>
                <w:szCs w:val="19"/>
                <w:color w:val="283548"/>
              </w:rPr>
              <w:t xml:space="preserve">Date, time zone, duration, attendees, and joining details are correct.</w:t>
            </w:r>
          </w:p>
        </w:tc>
        <w:tc>
          <w:tcPr>
            <w:tcW w:w="4042" w:type="dxa"/>
            <w:vAlign w:val="center"/>
          </w:tcPr>
          <w:p>
            <w:pPr>
              <w:spacing w:after="40" w:line="280" w:lineRule="auto"/>
            </w:pPr>
            <w:r>
              <w:rPr>
                <w:rFonts w:ascii="Calibri" w:hAnsi="Calibri"/>
                <w:sz w:val="19"/>
                <w:szCs w:val="19"/>
                <w:color w:val="283548"/>
              </w:rPr>
              <w:t xml:space="preserve">Important details are missing or left to assumption.</w:t>
            </w:r>
          </w:p>
        </w:tc>
      </w:tr>
      <w:tr>
        <w:tc>
          <w:tcPr>
            <w:tcW w:w="1200" w:type="dxa"/>
            <w:vAlign w:val="center"/>
          </w:tcPr>
          <w:p>
            <w:pPr>
              <w:spacing w:after="40" w:line="280" w:lineRule="auto"/>
            </w:pPr>
            <w:r>
              <w:rPr>
                <w:rFonts w:ascii="Calibri" w:hAnsi="Calibri"/>
                <w:sz w:val="19"/>
                <w:szCs w:val="19"/>
                <w:color w:val="283548"/>
              </w:rPr>
              <w:t xml:space="preserve">Commitment</w:t>
            </w:r>
          </w:p>
        </w:tc>
        <w:tc>
          <w:tcPr>
            <w:tcW w:w="4118" w:type="dxa"/>
            <w:vAlign w:val="center"/>
          </w:tcPr>
          <w:p>
            <w:pPr>
              <w:spacing w:after="40" w:line="280" w:lineRule="auto"/>
            </w:pPr>
            <w:r>
              <w:rPr>
                <w:rFonts w:ascii="Calibri" w:hAnsi="Calibri"/>
                <w:sz w:val="19"/>
                <w:szCs w:val="19"/>
                <w:color w:val="283548"/>
              </w:rPr>
              <w:t xml:space="preserve">Rescheduling and declining are easy and pressure-free.</w:t>
            </w:r>
          </w:p>
        </w:tc>
        <w:tc>
          <w:tcPr>
            <w:tcW w:w="4042" w:type="dxa"/>
            <w:vAlign w:val="center"/>
          </w:tcPr>
          <w:p>
            <w:pPr>
              <w:spacing w:after="40" w:line="280" w:lineRule="auto"/>
            </w:pPr>
            <w:r>
              <w:rPr>
                <w:rFonts w:ascii="Calibri" w:hAnsi="Calibri"/>
                <w:sz w:val="19"/>
                <w:szCs w:val="19"/>
                <w:color w:val="283548"/>
              </w:rPr>
              <w:t xml:space="preserve">Confirmation language implies the attendee owes you the meeting.</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Compare meetings booked with meetings attended and meetings that reached the stated purpose.</w:t>
      </w:r>
    </w:p>
    <w:p>
      <w:pPr>
        <w:numPr>
          <w:ilvl w:val="0"/>
          <w:numId w:val="1"/>
        </w:numPr>
        <w:spacing w:after="80" w:line="300" w:lineRule="auto"/>
      </w:pPr>
      <w:r>
        <w:rPr>
          <w:rFonts w:ascii="Calibri" w:hAnsi="Calibri"/>
          <w:sz w:val="22"/>
          <w:szCs w:val="22"/>
          <w:color w:val="283548"/>
        </w:rPr>
        <w:t xml:space="preserve">Record the most common reason for rescheduling or no-show without blaming the prospect.</w:t>
      </w:r>
    </w:p>
    <w:p>
      <w:pPr>
        <w:numPr>
          <w:ilvl w:val="0"/>
          <w:numId w:val="1"/>
        </w:numPr>
        <w:spacing w:after="80" w:line="300" w:lineRule="auto"/>
      </w:pPr>
      <w:r>
        <w:rPr>
          <w:rFonts w:ascii="Calibri" w:hAnsi="Calibri"/>
          <w:sz w:val="22"/>
          <w:szCs w:val="22"/>
          <w:color w:val="283548"/>
        </w:rPr>
        <w:t xml:space="preserve">Review whether the calendar description matches what was promised in the conversation.</w:t>
      </w:r>
    </w:p>
    <w:p>
      <w:pPr>
        <w:numPr>
          <w:ilvl w:val="0"/>
          <w:numId w:val="1"/>
        </w:numPr>
        <w:spacing w:after="80" w:line="300" w:lineRule="auto"/>
      </w:pPr>
      <w:r>
        <w:rPr>
          <w:rFonts w:ascii="Calibri" w:hAnsi="Calibri"/>
          <w:sz w:val="22"/>
          <w:szCs w:val="22"/>
          <w:color w:val="283548"/>
        </w:rPr>
        <w:t xml:space="preserve">Improve qualification and meeting purpose before increasing reminder frequency.</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"Hi Jordan — just confirming our 20 minutes on Wednesday at 10:00. I will show you how two teams your size handled weekend coverage, so you leave with at least one idea you can use whether or not we work together. If something comes up, no problem at all — just reply and we will find another slot. Looking forward to it."</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A confirmation should reassure, not pressure — never guilt someone into keeping a meeting or imply they owe you attendance. Only promise value you can actually deliver in the meeting. Always make rescheduling genuinely easy; a moved meeting is a far better outcome than a resentful attendee.</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