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Honest Referral Opener</w:t>
      </w:r>
    </w:p>
    <w:p>
      <w:pPr>
        <w:spacing w:after="100"/>
      </w:pPr>
      <w:r>
        <w:rPr>
          <w:rFonts w:ascii="Calibri" w:hAnsi="Calibri"/>
          <w:b/>
          <w:sz w:val="18"/>
          <w:szCs w:val="18"/>
          <w:color w:val="6B7280"/>
        </w:rPr>
        <w:t xml:space="preserve">SCRIPT | SKILL: OPENING | DIFFICULTY: BEGINNER | EST. 6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An opener for when a real person pointed you toward this prospect — it names the connection honestly, explains why they thought of them, and hands control back with one question.</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Name a genuine connection without overstating it</w:t>
      </w:r>
    </w:p>
    <w:p>
      <w:pPr>
        <w:numPr>
          <w:ilvl w:val="0"/>
          <w:numId w:val="1"/>
        </w:numPr>
        <w:spacing w:after="80" w:line="300" w:lineRule="auto"/>
      </w:pPr>
      <w:r>
        <w:rPr>
          <w:rFonts w:ascii="Calibri" w:hAnsi="Calibri"/>
          <w:sz w:val="22"/>
          <w:szCs w:val="22"/>
          <w:color w:val="283548"/>
        </w:rPr>
        <w:t xml:space="preserve">Explain the specific reason you were pointed here</w:t>
      </w:r>
    </w:p>
    <w:p>
      <w:pPr>
        <w:numPr>
          <w:ilvl w:val="0"/>
          <w:numId w:val="1"/>
        </w:numPr>
        <w:spacing w:after="80" w:line="300" w:lineRule="auto"/>
      </w:pPr>
      <w:r>
        <w:rPr>
          <w:rFonts w:ascii="Calibri" w:hAnsi="Calibri"/>
          <w:sz w:val="22"/>
          <w:szCs w:val="22"/>
          <w:color w:val="283548"/>
        </w:rPr>
        <w:t xml:space="preserve">Keep the borrowed trust intact by being honest</w:t>
      </w:r>
    </w:p>
    <w:p>
      <w:pPr>
        <w:numPr>
          <w:ilvl w:val="0"/>
          <w:numId w:val="1"/>
        </w:numPr>
        <w:spacing w:after="80" w:line="300" w:lineRule="auto"/>
      </w:pPr>
      <w:r>
        <w:rPr>
          <w:rFonts w:ascii="Calibri" w:hAnsi="Calibri"/>
          <w:sz w:val="22"/>
          <w:szCs w:val="22"/>
          <w:color w:val="283548"/>
        </w:rPr>
        <w:t xml:space="preserve">End with a question that lets the prospect react</w:t>
      </w:r>
    </w:p>
    <w:p>
      <w:pPr>
        <w:pStyle w:val="Heading1"/>
        <w:keepNext/>
      </w:pPr>
      <w:r>
        <w:rPr>
          <w:rFonts w:ascii="Calibri" w:hAnsi="Calibri"/>
        </w:rPr>
        <w:t xml:space="preserve">The four beats</w:t>
      </w:r>
    </w:p>
    <w:p>
      <w:pPr>
        <w:numPr>
          <w:ilvl w:val="0"/>
          <w:numId w:val="2"/>
        </w:numPr>
        <w:spacing w:after="80" w:line="300" w:lineRule="auto"/>
      </w:pPr>
      <w:r>
        <w:rPr>
          <w:rFonts w:ascii="Calibri" w:hAnsi="Calibri"/>
          <w:sz w:val="22"/>
          <w:szCs w:val="22"/>
          <w:color w:val="283548"/>
        </w:rPr>
        <w:t xml:space="preserve">Name the person and how you know them, exactly as it happened.</w:t>
      </w:r>
    </w:p>
    <w:p>
      <w:pPr>
        <w:numPr>
          <w:ilvl w:val="0"/>
          <w:numId w:val="2"/>
        </w:numPr>
        <w:spacing w:after="80" w:line="300" w:lineRule="auto"/>
      </w:pPr>
      <w:r>
        <w:rPr>
          <w:rFonts w:ascii="Calibri" w:hAnsi="Calibri"/>
          <w:sz w:val="22"/>
          <w:szCs w:val="22"/>
          <w:color w:val="283548"/>
        </w:rPr>
        <w:t xml:space="preserve">Say why that person thought this prospect was worth a conversation.</w:t>
      </w:r>
    </w:p>
    <w:p>
      <w:pPr>
        <w:numPr>
          <w:ilvl w:val="0"/>
          <w:numId w:val="2"/>
        </w:numPr>
        <w:spacing w:after="80" w:line="300" w:lineRule="auto"/>
      </w:pPr>
      <w:r>
        <w:rPr>
          <w:rFonts w:ascii="Calibri" w:hAnsi="Calibri"/>
          <w:sz w:val="22"/>
          <w:szCs w:val="22"/>
          <w:color w:val="283548"/>
        </w:rPr>
        <w:t xml:space="preserve">Give one honest sentence about what you do for people in their role.</w:t>
      </w:r>
    </w:p>
    <w:p>
      <w:pPr>
        <w:numPr>
          <w:ilvl w:val="0"/>
          <w:numId w:val="2"/>
        </w:numPr>
        <w:spacing w:after="80" w:line="300" w:lineRule="auto"/>
      </w:pPr>
      <w:r>
        <w:rPr>
          <w:rFonts w:ascii="Calibri" w:hAnsi="Calibri"/>
          <w:sz w:val="22"/>
          <w:szCs w:val="22"/>
          <w:color w:val="283548"/>
        </w:rPr>
        <w:t xml:space="preserve">Ask whether the reason still fits, instead of assuming it does.</w:t>
      </w:r>
    </w:p>
    <w:p>
      <w:pPr>
        <w:pStyle w:val="Heading1"/>
        <w:keepNext/>
      </w:pPr>
      <w:r>
        <w:rPr>
          <w:rFonts w:ascii="Calibri" w:hAnsi="Calibri"/>
        </w:rPr>
        <w:t xml:space="preserve">Keep it truthful</w:t>
      </w:r>
    </w:p>
    <w:p>
      <w:pPr>
        <w:numPr>
          <w:ilvl w:val="0"/>
          <w:numId w:val="1"/>
        </w:numPr>
        <w:spacing w:after="80" w:line="300" w:lineRule="auto"/>
      </w:pPr>
      <w:r>
        <w:rPr>
          <w:rFonts w:ascii="Calibri" w:hAnsi="Calibri"/>
          <w:sz w:val="22"/>
          <w:szCs w:val="22"/>
          <w:color w:val="283548"/>
        </w:rPr>
        <w:t xml:space="preserve">Only use a referral if the person actually agreed to be named.</w:t>
      </w:r>
    </w:p>
    <w:p>
      <w:pPr>
        <w:numPr>
          <w:ilvl w:val="0"/>
          <w:numId w:val="1"/>
        </w:numPr>
        <w:spacing w:after="80" w:line="300" w:lineRule="auto"/>
      </w:pPr>
      <w:r>
        <w:rPr>
          <w:rFonts w:ascii="Calibri" w:hAnsi="Calibri"/>
          <w:sz w:val="22"/>
          <w:szCs w:val="22"/>
          <w:color w:val="283548"/>
        </w:rPr>
        <w:t xml:space="preserve">Do not upgrade "we spoke once" into "they are a close contact".</w:t>
      </w:r>
    </w:p>
    <w:p>
      <w:pPr>
        <w:numPr>
          <w:ilvl w:val="0"/>
          <w:numId w:val="1"/>
        </w:numPr>
        <w:spacing w:after="80" w:line="300" w:lineRule="auto"/>
      </w:pPr>
      <w:r>
        <w:rPr>
          <w:rFonts w:ascii="Calibri" w:hAnsi="Calibri"/>
          <w:sz w:val="22"/>
          <w:szCs w:val="22"/>
          <w:color w:val="283548"/>
        </w:rPr>
        <w:t xml:space="preserve">If the connection is thin, say so — thin but honest beats warm but false.</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A professional opening removes uncertainty quickly: the listener knows who is calling, why the call may be relevant, and that they can decline. The purpose is not to force attention; it is to earn enough trust for one useful question.</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Clarity</w:t>
            </w:r>
          </w:p>
        </w:tc>
        <w:tc>
          <w:tcPr>
            <w:tcW w:w="4118" w:type="dxa"/>
            <w:vAlign w:val="center"/>
          </w:tcPr>
          <w:p>
            <w:pPr>
              <w:spacing w:after="40" w:line="280" w:lineRule="auto"/>
            </w:pPr>
            <w:r>
              <w:rPr>
                <w:rFonts w:ascii="Calibri" w:hAnsi="Calibri"/>
                <w:sz w:val="19"/>
                <w:szCs w:val="19"/>
                <w:color w:val="283548"/>
              </w:rPr>
              <w:t xml:space="preserve">Identity and purpose are understandable on the first listen.</w:t>
            </w:r>
          </w:p>
        </w:tc>
        <w:tc>
          <w:tcPr>
            <w:tcW w:w="4042" w:type="dxa"/>
            <w:vAlign w:val="center"/>
          </w:tcPr>
          <w:p>
            <w:pPr>
              <w:spacing w:after="40" w:line="280" w:lineRule="auto"/>
            </w:pPr>
            <w:r>
              <w:rPr>
                <w:rFonts w:ascii="Calibri" w:hAnsi="Calibri"/>
                <w:sz w:val="19"/>
                <w:szCs w:val="19"/>
                <w:color w:val="283548"/>
              </w:rPr>
              <w:t xml:space="preserve">The listener must ask who you are or why you called.</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reason is tied to a verified business signal or role-level problem.</w:t>
            </w:r>
          </w:p>
        </w:tc>
        <w:tc>
          <w:tcPr>
            <w:tcW w:w="4042" w:type="dxa"/>
            <w:vAlign w:val="center"/>
          </w:tcPr>
          <w:p>
            <w:pPr>
              <w:spacing w:after="40" w:line="280" w:lineRule="auto"/>
            </w:pPr>
            <w:r>
              <w:rPr>
                <w:rFonts w:ascii="Calibri" w:hAnsi="Calibri"/>
                <w:sz w:val="19"/>
                <w:szCs w:val="19"/>
                <w:color w:val="283548"/>
              </w:rPr>
              <w:t xml:space="preserve">The opener relies on a generic claim that could apply to anyone.</w:t>
            </w:r>
          </w:p>
        </w:tc>
      </w:tr>
      <w:tr>
        <w:tc>
          <w:tcPr>
            <w:tcW w:w="1200" w:type="dxa"/>
            <w:vAlign w:val="center"/>
          </w:tcPr>
          <w:p>
            <w:pPr>
              <w:spacing w:after="40" w:line="280" w:lineRule="auto"/>
            </w:pPr>
            <w:r>
              <w:rPr>
                <w:rFonts w:ascii="Calibri" w:hAnsi="Calibri"/>
                <w:sz w:val="19"/>
                <w:szCs w:val="19"/>
                <w:color w:val="283548"/>
              </w:rPr>
              <w:t xml:space="preserve">Brevity</w:t>
            </w:r>
          </w:p>
        </w:tc>
        <w:tc>
          <w:tcPr>
            <w:tcW w:w="4118" w:type="dxa"/>
            <w:vAlign w:val="center"/>
          </w:tcPr>
          <w:p>
            <w:pPr>
              <w:spacing w:after="40" w:line="280" w:lineRule="auto"/>
            </w:pPr>
            <w:r>
              <w:rPr>
                <w:rFonts w:ascii="Calibri" w:hAnsi="Calibri"/>
                <w:sz w:val="19"/>
                <w:szCs w:val="19"/>
                <w:color w:val="283548"/>
              </w:rPr>
              <w:t xml:space="preserve">The opening reaches a genuine question in roughly 20-35 seconds.</w:t>
            </w:r>
          </w:p>
        </w:tc>
        <w:tc>
          <w:tcPr>
            <w:tcW w:w="4042" w:type="dxa"/>
            <w:vAlign w:val="center"/>
          </w:tcPr>
          <w:p>
            <w:pPr>
              <w:spacing w:after="40" w:line="280" w:lineRule="auto"/>
            </w:pPr>
            <w:r>
              <w:rPr>
                <w:rFonts w:ascii="Calibri" w:hAnsi="Calibri"/>
                <w:sz w:val="19"/>
                <w:szCs w:val="19"/>
                <w:color w:val="283548"/>
              </w:rPr>
              <w:t xml:space="preserve">A product explanation begins before the listener has responded.</w:t>
            </w:r>
          </w:p>
        </w:tc>
      </w:tr>
      <w:tr>
        <w:tc>
          <w:tcPr>
            <w:tcW w:w="1200" w:type="dxa"/>
            <w:vAlign w:val="center"/>
          </w:tcPr>
          <w:p>
            <w:pPr>
              <w:spacing w:after="40" w:line="280" w:lineRule="auto"/>
            </w:pPr>
            <w:r>
              <w:rPr>
                <w:rFonts w:ascii="Calibri" w:hAnsi="Calibri"/>
                <w:sz w:val="19"/>
                <w:szCs w:val="19"/>
                <w:color w:val="283548"/>
              </w:rPr>
              <w:t xml:space="preserve">Control</w:t>
            </w:r>
          </w:p>
        </w:tc>
        <w:tc>
          <w:tcPr>
            <w:tcW w:w="4118" w:type="dxa"/>
            <w:vAlign w:val="center"/>
          </w:tcPr>
          <w:p>
            <w:pPr>
              <w:spacing w:after="40" w:line="280" w:lineRule="auto"/>
            </w:pPr>
            <w:r>
              <w:rPr>
                <w:rFonts w:ascii="Calibri" w:hAnsi="Calibri"/>
                <w:sz w:val="19"/>
                <w:szCs w:val="19"/>
                <w:color w:val="283548"/>
              </w:rPr>
              <w:t xml:space="preserve">The listener has an honest, easy way to continue or end the call.</w:t>
            </w:r>
          </w:p>
        </w:tc>
        <w:tc>
          <w:tcPr>
            <w:tcW w:w="4042" w:type="dxa"/>
            <w:vAlign w:val="center"/>
          </w:tcPr>
          <w:p>
            <w:pPr>
              <w:spacing w:after="40" w:line="280" w:lineRule="auto"/>
            </w:pPr>
            <w:r>
              <w:rPr>
                <w:rFonts w:ascii="Calibri" w:hAnsi="Calibri"/>
                <w:sz w:val="19"/>
                <w:szCs w:val="19"/>
                <w:color w:val="283548"/>
              </w:rPr>
              <w:t xml:space="preserve">Permission language is used but a no is ignored.</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Track how often the listener understands the reason for the call without asking for clarification.</w:t>
      </w:r>
    </w:p>
    <w:p>
      <w:pPr>
        <w:numPr>
          <w:ilvl w:val="0"/>
          <w:numId w:val="1"/>
        </w:numPr>
        <w:spacing w:after="80" w:line="300" w:lineRule="auto"/>
      </w:pPr>
      <w:r>
        <w:rPr>
          <w:rFonts w:ascii="Calibri" w:hAnsi="Calibri"/>
          <w:sz w:val="22"/>
          <w:szCs w:val="22"/>
          <w:color w:val="283548"/>
        </w:rPr>
        <w:t xml:space="preserve">Review whether the first response is a real answer, a request for context, a timing objection, or a firm no.</w:t>
      </w:r>
    </w:p>
    <w:p>
      <w:pPr>
        <w:numPr>
          <w:ilvl w:val="0"/>
          <w:numId w:val="1"/>
        </w:numPr>
        <w:spacing w:after="80" w:line="300" w:lineRule="auto"/>
      </w:pPr>
      <w:r>
        <w:rPr>
          <w:rFonts w:ascii="Calibri" w:hAnsi="Calibri"/>
          <w:sz w:val="22"/>
          <w:szCs w:val="22"/>
          <w:color w:val="283548"/>
        </w:rPr>
        <w:t xml:space="preserve">Listen for rushed delivery, filler words, and sentences that are too long to say naturally.</w:t>
      </w:r>
    </w:p>
    <w:p>
      <w:pPr>
        <w:numPr>
          <w:ilvl w:val="0"/>
          <w:numId w:val="1"/>
        </w:numPr>
        <w:spacing w:after="80" w:line="300" w:lineRule="auto"/>
      </w:pPr>
      <w:r>
        <w:rPr>
          <w:rFonts w:ascii="Calibri" w:hAnsi="Calibri"/>
          <w:sz w:val="22"/>
          <w:szCs w:val="22"/>
          <w:color w:val="283548"/>
        </w:rPr>
        <w:t xml:space="preserve">Improve the relevance line before changing tone or adding more words.</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"Hi Priya, this is Sam with Northlight. Dana Okafor on your ops team mentioned you when we talked last week — she thought driver scheduling might be worth a quick conversation with you specifically. I work with ops leads who are scaling headcount faster than their tools. Is scheduling actually a pain point for you, or did Dana catch it wrong?"</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Never claim a referral, introduction, or relationship that did not happen — it is the fastest way to lose a prospect and your own credibility. If the person only agreed to be mentioned in general terms, keep it general. If the prospect says the reason does not fit, believe them and move on.</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