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/>
        </w:rPr>
        <w:t xml:space="preserve">"Send Me an Email" Redirect</w:t>
      </w:r>
    </w:p>
    <w:p>
      <w:pPr>
        <w:spacing w:after="100"/>
      </w:pPr>
      <w:r>
        <w:rPr>
          <w:rFonts w:ascii="Calibri" w:hAnsi="Calibri"/>
          <w:b/>
          <w:sz w:val="18"/>
          <w:szCs w:val="18"/>
          <w:color w:val="6B7280"/>
        </w:rPr>
        <w:t xml:space="preserve">SCRIPT | SKILL: OBJECTIONS | DIFFICULTY: BEGINNER | EST. 5 MIN</w:t>
      </w:r>
    </w:p>
    <w:p>
      <w:pPr>
        <w:spacing w:before="40" w:after="160"/>
        <w:shd w:val="clear" w:color="auto" w:fill="EAF7EF"/>
        <w:ind w:left="160"/>
      </w:pPr>
      <w:r>
        <w:rPr>
          <w:rFonts w:ascii="Calibri" w:hAnsi="Calibri"/>
          <w:b/>
          <w:sz w:val="18"/>
          <w:szCs w:val="18"/>
          <w:color w:val="166534"/>
        </w:rPr>
        <w:t xml:space="preserve">Reviewed professional resource - AmplifyHub Practical Resource Library</w:t>
      </w:r>
    </w:p>
    <w:p>
      <w:pPr>
        <w:pStyle w:val="Heading1"/>
        <w:keepNext/>
      </w:pPr>
      <w:r>
        <w:rPr>
          <w:rFonts w:ascii="Calibri" w:hAnsi="Calibri"/>
        </w:rPr>
        <w:t xml:space="preserve">Overview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 response to "just send me an email" that agrees happily, then asks one question so the email is actually relevant — without refusing to send it or turning it into a fight.</w:t>
      </w:r>
    </w:p>
    <w:p>
      <w:pPr>
        <w:pStyle w:val="Heading1"/>
        <w:keepNext/>
      </w:pPr>
      <w:r>
        <w:rPr>
          <w:rFonts w:ascii="Calibri" w:hAnsi="Calibri"/>
        </w:rPr>
        <w:t xml:space="preserve">Learning objectives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Agree to send the email without resistance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one question so the email is worth reading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Set a light, optional next touch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Accept that an email request can be a polite exit</w:t>
      </w:r>
    </w:p>
    <w:p>
      <w:pPr>
        <w:pStyle w:val="Heading1"/>
        <w:keepNext/>
      </w:pPr>
      <w:r>
        <w:rPr>
          <w:rFonts w:ascii="Calibri" w:hAnsi="Calibri"/>
        </w:rPr>
        <w:t xml:space="preserve">Redirect in three beats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Say yes immediately — "Happy to."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Ask one question so you send something relevant, not generic.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Offer a small optional follow-up so the email is not a dead end.</w:t>
      </w:r>
    </w:p>
    <w:p>
      <w:pPr>
        <w:pStyle w:val="Heading1"/>
        <w:keepNext/>
      </w:pPr>
      <w:r>
        <w:rPr>
          <w:rFonts w:ascii="Calibri" w:hAnsi="Calibri"/>
        </w:rPr>
        <w:t xml:space="preserve">Read the request honestly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Sometimes "send me an email" means "I am mildly curious," and sometimes it means "this is how I end calls politely." Both are fine. Ask your one question; if the answer is thin, send a short, genuinely useful email and let them come back on their own terms rather than pushing for a call they did not offer.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standard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Professional objection handling is diagnosis, not debate. Acknowledge the concern, clarify it once, and respond only when there is useful information to add. Repeated or firm rejection ends the conversation.</w:t>
      </w:r>
    </w:p>
    <w:p>
      <w:pPr>
        <w:pStyle w:val="Heading1"/>
        <w:keepNext/>
      </w:pPr>
      <w:r>
        <w:rPr>
          <w:rFonts w:ascii="Calibri" w:hAnsi="Calibri"/>
        </w:rPr>
        <w:t xml:space="preserve">Professional workflow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Research the account and role before editing the script. Record one observable business signal, one plausible problem to test, and the source that supports the signal.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Replace every bracketed placeholder with plain language you would genuinely use. Remove claims, customer names, statistics, and urgency that you cannot verify.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Read the script aloud at normal speed. Shorten any sentence that forces you to rush, breathe in the middle, or sound as if you are reading.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Practise three variations: the intended flow, an early interruption, and a clear no. The goal is calm adaptation, not perfect memorisation.</w:t>
      </w:r>
    </w:p>
    <w:p>
      <w:pPr>
        <w:numPr>
          <w:ilvl w:val="0"/>
          <w:numId w:val="2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After use, record only the outcome category and one learning point. Adjust one line at a time so you know which change improved clarity or relevance.</w:t>
      </w:r>
    </w:p>
    <w:p>
      <w:pPr>
        <w:pStyle w:val="Heading1"/>
        <w:keepNext/>
      </w:pPr>
      <w:r>
        <w:rPr>
          <w:rFonts w:ascii="Calibri" w:hAnsi="Calibri"/>
        </w:rPr>
        <w:t xml:space="preserve">Quality-control review</w:t>
      </w:r>
    </w:p>
    <w:tbl>
      <w:tblPr>
        <w:tblW w:w="9360" w:type="dxa"/>
        <w:tblInd w:w="120" w:type="dxa"/>
        <w:tblLayout w:type="fixed"/>
        <w:tblCellMar>
          <w:top w:w="100" w:type="dxa"/>
          <w:left w:w="120" w:type="dxa"/>
          <w:bottom w:w="100" w:type="dxa"/>
          <w:right w:w="120" w:type="dxa"/>
        </w:tblCellMar>
        <w:tblBorders>
          <w:top w:val="single" w:sz="4" w:color="D9DEE7"/>
          <w:left w:val="single" w:sz="4" w:color="D9DEE7"/>
          <w:bottom w:val="single" w:sz="4" w:color="D9DEE7"/>
          <w:right w:val="single" w:sz="4" w:color="D9DEE7"/>
          <w:insideH w:val="single" w:sz="4" w:color="D9DEE7"/>
          <w:insideV w:val="single" w:sz="4" w:color="D9DEE7"/>
        </w:tblBorders>
      </w:tblPr>
      <w:tblGrid>
        <w:gridCol w:w="1363"/>
        <w:gridCol w:w="3998"/>
        <w:gridCol w:w="3999"/>
      </w:tblGrid>
      <w:tr>
        <w:trPr>
          <w:tblHeader/>
        </w:trPr>
        <w:tc>
          <w:tcPr>
            <w:tcW w:w="1363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Review point</w:t>
            </w:r>
          </w:p>
        </w:tc>
        <w:tc>
          <w:tcPr>
            <w:tcW w:w="3998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Professional standard</w:t>
            </w:r>
          </w:p>
        </w:tc>
        <w:tc>
          <w:tcPr>
            <w:tcW w:w="3999" w:type="dxa"/>
            <w:vAlign w:val="center"/>
            <w:shd w:val="clear" w:color="auto" w:fill="FFF3C4"/>
          </w:tcPr>
          <w:p>
            <w:pPr>
              <w:spacing w:after="40" w:line="280" w:lineRule="auto"/>
            </w:pPr>
            <w:r>
              <w:rPr>
                <w:rFonts w:ascii="Calibri" w:hAnsi="Calibri"/>
                <w:b/>
                <w:sz w:val="19"/>
                <w:szCs w:val="19"/>
                <w:color w:val="6B4F00"/>
              </w:rPr>
              <w:t xml:space="preserve">Warning sign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Acknowledgement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response recognises the concern before asking another question.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answer begins with a rebuttal or correction.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Diagnosis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One neutral question identifies timing, fit, value, authority, or information needs.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Several questions are stacked to wear down resistance.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Response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addresses the stated concern with verifiable information.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reply changes the subject or uses an unsupported claim.</w:t>
            </w:r>
          </w:p>
        </w:tc>
      </w:tr>
      <w:tr>
        <w:tc>
          <w:tcPr>
            <w:tcW w:w="1363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Exit discipline</w:t>
            </w:r>
          </w:p>
        </w:tc>
        <w:tc>
          <w:tcPr>
            <w:tcW w:w="3998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A clear no is thanked and respected immediately.</w:t>
            </w:r>
          </w:p>
        </w:tc>
        <w:tc>
          <w:tcPr>
            <w:tcW w:w="3999" w:type="dxa"/>
            <w:vAlign w:val="center"/>
          </w:tcPr>
          <w:p>
            <w:pPr>
              <w:spacing w:after="40" w:line="280" w:lineRule="auto"/>
            </w:pPr>
            <w:r>
              <w:rPr>
                <w:rFonts w:ascii="Calibri" w:hAnsi="Calibri"/>
                <w:sz w:val="19"/>
                <w:szCs w:val="19"/>
                <w:color w:val="283548"/>
              </w:rPr>
              <w:t xml:space="preserve">The same objection is challenged more than once.</w:t>
            </w:r>
          </w:p>
        </w:tc>
      </w:tr>
    </w:tbl>
    <w:p>
      <w:pPr>
        <w:spacing w:after="80"/>
      </w:pPr>
      <w:r>
        <w:rPr>
          <w:rFonts w:ascii="Calibri" w:hAnsi="Calibri"/>
        </w:rPr>
        <w:t xml:space="preserve"/>
      </w:r>
    </w:p>
    <w:p>
      <w:pPr>
        <w:pStyle w:val="Heading1"/>
        <w:keepNext/>
      </w:pPr>
      <w:r>
        <w:rPr>
          <w:rFonts w:ascii="Calibri" w:hAnsi="Calibri"/>
        </w:rPr>
        <w:t xml:space="preserve">Evidence and improvement signals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Classify objections by underlying reason instead of memorising a separate comeback for every phrase.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Review whether your clarifying question produced new information or simply prolonged the call.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Track calmness and listening quality, not only meetings booked after an objection.</w:t>
      </w:r>
    </w:p>
    <w:p>
      <w:pPr>
        <w:numPr>
          <w:ilvl w:val="0"/>
          <w:numId w:val="1"/>
        </w:numPr>
        <w:spacing w:after="8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Add a response to your playbook only after you can support it with accurate product or process information.</w:t>
      </w:r>
    </w:p>
    <w:p>
      <w:pPr>
        <w:pStyle w:val="Heading1"/>
        <w:keepNext/>
      </w:pPr>
      <w:r>
        <w:rPr>
          <w:rFonts w:ascii="Calibri" w:hAnsi="Calibri"/>
        </w:rPr>
        <w:t xml:space="preserve">Worked example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"Happy to send that over. So I do not send you a generic overview — is weekend coverage the part that is actually painful, or is it more the onboarding side? … Got it, I will keep the email focused on coverage. If it is useful, reply and I will share how two teams handled it. If not, no worries at all."</w:t>
      </w:r>
    </w:p>
    <w:p>
      <w:pPr>
        <w:pStyle w:val="Heading1"/>
        <w:keepNext/>
      </w:pPr>
      <w:r>
        <w:rPr>
          <w:rFonts w:ascii="Calibri" w:hAnsi="Calibri"/>
        </w:rPr>
        <w:t xml:space="preserve">Safe-practice note</w:t>
      </w:r>
    </w:p>
    <w:p>
      <w:pPr>
        <w:spacing w:after="120" w:line="300" w:lineRule="auto"/>
      </w:pPr>
      <w:r>
        <w:rPr>
          <w:rFonts w:ascii="Calibri" w:hAnsi="Calibri"/>
          <w:sz w:val="22"/>
          <w:szCs w:val="22"/>
          <w:color w:val="283548"/>
        </w:rPr>
        <w:t xml:space="preserve">Always send the email you promised — refusing to send one unless they book a call is a bait-and-switch that burns trust. Keep it short and relevant, never mark it "urgent," and do not follow a single email with a barrage. If they do not reply, that is a legitimate answer.</w:t>
      </w:r>
    </w:p>
    <w:p>
      <w:pPr>
        <w:spacing w:before="240" w:after="40"/>
      </w:pPr>
      <w:r>
        <w:rPr>
          <w:rFonts w:ascii="Calibri" w:hAnsi="Calibri"/>
          <w:sz w:val="17"/>
          <w:szCs w:val="17"/>
          <w:color w:val="7B8494"/>
        </w:rPr>
        <w:t xml:space="preserve">Last reviewed: 2026-07-28 | AmplifyHub Practical Resource Library</w:t>
      </w:r>
    </w:p>
    <w:sectPr>
      <w:headerReference w:type="default" r:id="rId3"/>
      <w:footerReference w:type="default" r:id="rId4"/>
      <w:pgSz w:w="12240" w:h="15840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color w:val="7B8494"/>
        <w:sz w:val="16"/>
      </w:rPr>
      <w:t>AmplifyHub  |  Page </w:t>
    </w:r>
    <w:fldSimple w:instr="PAGE">
      <w:r>
        <w:rPr>
          <w:color w:val="7B8494"/>
          <w:sz w:val="16"/>
        </w:rPr>
        <w:t>1</w:t>
      </w:r>
    </w:fldSimple>
  </w:p>
</w:ftr>
</file>

<file path=word/header1.xml><?xml version="1.0" encoding="utf-8"?>
<w:hdr xmlns:w="http://schemas.openxmlformats.org/wordprocessingml/2006/main">
  <w:p>
    <w:pPr>
      <w:spacing w:after="40"/>
    </w:pPr>
    <w:r>
      <w:rPr>
        <w:rFonts w:ascii="Calibri" w:hAnsi="Calibri"/>
        <w:b/>
        <w:sz w:val="16"/>
        <w:szCs w:val="16"/>
        <w:color w:val="8A6200"/>
      </w:rPr>
      <w:t xml:space="preserve">AMPLIFYHUB  |  PRACTICAL RESOURCE LIBRARY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default="1" w:styleId="Normal">
    <w:name w:val="Normal"/>
    <w:pPr>
      <w:spacing w:after="120" w:line="300" w:lineRule="auto"/>
    </w:pPr>
    <w:rPr>
      <w:rFonts w:ascii="Calibri" w:hAnsi="Calibri"/>
      <w:sz w:val="22"/>
      <w:color w:val="283548"/>
    </w:rPr>
  </w:style>
  <w:style w:type="paragraph" w:styleId="Title">
    <w:name w:val="Title"/>
    <w:pPr>
      <w:keepNext/>
      <w:spacing w:after="120"/>
    </w:pPr>
    <w:rPr>
      <w:rFonts w:ascii="Calibri" w:hAnsi="Calibri"/>
      <w:b/>
      <w:sz w:val="56"/>
      <w:color w:val="172033"/>
    </w:rPr>
  </w:style>
  <w:style w:type="paragraph" w:styleId="Heading1">
    <w:name w:val="Heading 1"/>
    <w:pPr>
      <w:keepNext/>
      <w:spacing w:before="280" w:after="140"/>
    </w:pPr>
    <w:rPr>
      <w:rFonts w:ascii="Calibri" w:hAnsi="Calibri"/>
      <w:b/>
      <w:sz w:val="30"/>
      <w:color w:val="8A620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eader" Target="header1.xml"/><Relationship Id="rId4" Type="http://schemas.openxmlformats.org/officeDocument/2006/relationships/footer" Target="footer1.xml"/></Relationships>
</file>