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rPr>
        <w:t xml:space="preserve">Prospect Research Brief</w:t>
      </w:r>
    </w:p>
    <w:p>
      <w:pPr>
        <w:spacing w:after="100"/>
      </w:pPr>
      <w:r>
        <w:rPr>
          <w:rFonts w:ascii="Calibri" w:hAnsi="Calibri"/>
          <w:b/>
          <w:sz w:val="18"/>
          <w:szCs w:val="18"/>
          <w:color w:val="6B7280"/>
        </w:rPr>
        <w:t xml:space="preserve">TEMPLATE | SKILL: PROSPECTING | DIFFICULTY: BEGINNER | EST. 10 MIN</w:t>
      </w:r>
    </w:p>
    <w:p>
      <w:pPr>
        <w:spacing w:before="40" w:after="160"/>
        <w:shd w:val="clear" w:color="auto" w:fill="EAF7EF"/>
        <w:ind w:left="160"/>
      </w:pPr>
      <w:r>
        <w:rPr>
          <w:rFonts w:ascii="Calibri" w:hAnsi="Calibri"/>
          <w:b/>
          <w:sz w:val="18"/>
          <w:szCs w:val="18"/>
          <w:color w:val="166534"/>
        </w:rPr>
        <w:t xml:space="preserve">Reviewed professional resource - AmplifyHub Practical Resource Library</w:t>
      </w:r>
    </w:p>
    <w:p>
      <w:pPr>
        <w:pStyle w:val="Heading1"/>
        <w:keepNext/>
      </w:pPr>
      <w:r>
        <w:rPr>
          <w:rFonts w:ascii="Calibri" w:hAnsi="Calibri"/>
        </w:rPr>
        <w:t xml:space="preserve">Overview</w:t>
      </w:r>
    </w:p>
    <w:p>
      <w:pPr>
        <w:spacing w:after="120" w:line="300" w:lineRule="auto"/>
      </w:pPr>
      <w:r>
        <w:rPr>
          <w:rFonts w:ascii="Calibri" w:hAnsi="Calibri"/>
          <w:sz w:val="22"/>
          <w:szCs w:val="22"/>
          <w:color w:val="283548"/>
        </w:rPr>
        <w:t xml:space="preserve">A one-page brief you fill in before calling, using only public, business-level information, so you can open with genuine relevance instead of a generic pitch.</w:t>
      </w:r>
    </w:p>
    <w:p>
      <w:pPr>
        <w:pStyle w:val="Heading1"/>
        <w:keepNext/>
      </w:pPr>
      <w:r>
        <w:rPr>
          <w:rFonts w:ascii="Calibri" w:hAnsi="Calibri"/>
        </w:rPr>
        <w:t xml:space="preserve">Learning objectives</w:t>
      </w:r>
    </w:p>
    <w:p>
      <w:pPr>
        <w:numPr>
          <w:ilvl w:val="0"/>
          <w:numId w:val="1"/>
        </w:numPr>
        <w:spacing w:after="80" w:line="300" w:lineRule="auto"/>
      </w:pPr>
      <w:r>
        <w:rPr>
          <w:rFonts w:ascii="Calibri" w:hAnsi="Calibri"/>
          <w:sz w:val="22"/>
          <w:szCs w:val="22"/>
          <w:color w:val="283548"/>
        </w:rPr>
        <w:t xml:space="preserve">Capture the company and role you are calling</w:t>
      </w:r>
    </w:p>
    <w:p>
      <w:pPr>
        <w:numPr>
          <w:ilvl w:val="0"/>
          <w:numId w:val="1"/>
        </w:numPr>
        <w:spacing w:after="80" w:line="300" w:lineRule="auto"/>
      </w:pPr>
      <w:r>
        <w:rPr>
          <w:rFonts w:ascii="Calibri" w:hAnsi="Calibri"/>
          <w:sz w:val="22"/>
          <w:szCs w:val="22"/>
          <w:color w:val="283548"/>
        </w:rPr>
        <w:t xml:space="preserve">Note one public business signal worth referencing</w:t>
      </w:r>
    </w:p>
    <w:p>
      <w:pPr>
        <w:numPr>
          <w:ilvl w:val="0"/>
          <w:numId w:val="1"/>
        </w:numPr>
        <w:spacing w:after="80" w:line="300" w:lineRule="auto"/>
      </w:pPr>
      <w:r>
        <w:rPr>
          <w:rFonts w:ascii="Calibri" w:hAnsi="Calibri"/>
          <w:sz w:val="22"/>
          <w:szCs w:val="22"/>
          <w:color w:val="283548"/>
        </w:rPr>
        <w:t xml:space="preserve">Turn that signal into a plausible problem</w:t>
      </w:r>
    </w:p>
    <w:p>
      <w:pPr>
        <w:numPr>
          <w:ilvl w:val="0"/>
          <w:numId w:val="1"/>
        </w:numPr>
        <w:spacing w:after="80" w:line="300" w:lineRule="auto"/>
      </w:pPr>
      <w:r>
        <w:rPr>
          <w:rFonts w:ascii="Calibri" w:hAnsi="Calibri"/>
          <w:sz w:val="22"/>
          <w:szCs w:val="22"/>
          <w:color w:val="283548"/>
        </w:rPr>
        <w:t xml:space="preserve">Write one relevant opening question</w:t>
      </w:r>
    </w:p>
    <w:p>
      <w:pPr>
        <w:pStyle w:val="Heading1"/>
        <w:keepNext/>
      </w:pPr>
      <w:r>
        <w:rPr>
          <w:rFonts w:ascii="Calibri" w:hAnsi="Calibri"/>
        </w:rPr>
        <w:t xml:space="preserve">Brief fields</w:t>
      </w:r>
    </w:p>
    <w:p>
      <w:pPr>
        <w:numPr>
          <w:ilvl w:val="0"/>
          <w:numId w:val="1"/>
        </w:numPr>
        <w:spacing w:after="80" w:line="300" w:lineRule="auto"/>
      </w:pPr>
      <w:r>
        <w:rPr>
          <w:rFonts w:ascii="Calibri" w:hAnsi="Calibri"/>
          <w:sz w:val="22"/>
          <w:szCs w:val="22"/>
          <w:color w:val="283548"/>
        </w:rPr>
        <w:t xml:space="preserve">Company name and what they do (one line): ______________________________</w:t>
      </w:r>
    </w:p>
    <w:p>
      <w:pPr>
        <w:numPr>
          <w:ilvl w:val="0"/>
          <w:numId w:val="1"/>
        </w:numPr>
        <w:spacing w:after="80" w:line="300" w:lineRule="auto"/>
      </w:pPr>
      <w:r>
        <w:rPr>
          <w:rFonts w:ascii="Calibri" w:hAnsi="Calibri"/>
          <w:sz w:val="22"/>
          <w:szCs w:val="22"/>
          <w:color w:val="283548"/>
        </w:rPr>
        <w:t xml:space="preserve">Role you are trying to reach: ______________________________</w:t>
      </w:r>
    </w:p>
    <w:p>
      <w:pPr>
        <w:numPr>
          <w:ilvl w:val="0"/>
          <w:numId w:val="1"/>
        </w:numPr>
        <w:spacing w:after="80" w:line="300" w:lineRule="auto"/>
      </w:pPr>
      <w:r>
        <w:rPr>
          <w:rFonts w:ascii="Calibri" w:hAnsi="Calibri"/>
          <w:sz w:val="22"/>
          <w:szCs w:val="22"/>
          <w:color w:val="283548"/>
        </w:rPr>
        <w:t xml:space="preserve">One public signal (hiring, expansion, product launch, news): ______________________________</w:t>
      </w:r>
    </w:p>
    <w:p>
      <w:pPr>
        <w:numPr>
          <w:ilvl w:val="0"/>
          <w:numId w:val="1"/>
        </w:numPr>
        <w:spacing w:after="80" w:line="300" w:lineRule="auto"/>
      </w:pPr>
      <w:r>
        <w:rPr>
          <w:rFonts w:ascii="Calibri" w:hAnsi="Calibri"/>
          <w:sz w:val="22"/>
          <w:szCs w:val="22"/>
          <w:color w:val="283548"/>
        </w:rPr>
        <w:t xml:space="preserve">A plausible problem that signal might create: ______________________________</w:t>
      </w:r>
    </w:p>
    <w:p>
      <w:pPr>
        <w:numPr>
          <w:ilvl w:val="0"/>
          <w:numId w:val="1"/>
        </w:numPr>
        <w:spacing w:after="80" w:line="300" w:lineRule="auto"/>
      </w:pPr>
      <w:r>
        <w:rPr>
          <w:rFonts w:ascii="Calibri" w:hAnsi="Calibri"/>
          <w:sz w:val="22"/>
          <w:szCs w:val="22"/>
          <w:color w:val="283548"/>
        </w:rPr>
        <w:t xml:space="preserve">Your relevant opening question: ______________________________</w:t>
      </w:r>
    </w:p>
    <w:p>
      <w:pPr>
        <w:numPr>
          <w:ilvl w:val="0"/>
          <w:numId w:val="1"/>
        </w:numPr>
        <w:spacing w:after="80" w:line="300" w:lineRule="auto"/>
      </w:pPr>
      <w:r>
        <w:rPr>
          <w:rFonts w:ascii="Calibri" w:hAnsi="Calibri"/>
          <w:sz w:val="22"/>
          <w:szCs w:val="22"/>
          <w:color w:val="283548"/>
        </w:rPr>
        <w:t xml:space="preserve">Notes: anything that would make the call more respectful and specific: ______________________________</w:t>
      </w:r>
    </w:p>
    <w:p>
      <w:pPr>
        <w:pStyle w:val="Heading1"/>
        <w:keepNext/>
      </w:pPr>
      <w:r>
        <w:rPr>
          <w:rFonts w:ascii="Calibri" w:hAnsi="Calibri"/>
        </w:rPr>
        <w:t xml:space="preserve">Where to look (public only)</w:t>
      </w:r>
    </w:p>
    <w:p>
      <w:pPr>
        <w:spacing w:after="120" w:line="300" w:lineRule="auto"/>
      </w:pPr>
      <w:r>
        <w:rPr>
          <w:rFonts w:ascii="Calibri" w:hAnsi="Calibri"/>
          <w:sz w:val="22"/>
          <w:szCs w:val="22"/>
          <w:color w:val="283548"/>
        </w:rPr>
        <w:t xml:space="preserve">Company website, public job posts, press releases, and public social posts are enough. Do not collect or store personal contact details, private data, or anything that is not meant to be public.</w:t>
      </w:r>
    </w:p>
    <w:p>
      <w:pPr>
        <w:pStyle w:val="Heading1"/>
        <w:keepNext/>
      </w:pPr>
      <w:r>
        <w:rPr>
          <w:rFonts w:ascii="Calibri" w:hAnsi="Calibri"/>
        </w:rPr>
        <w:t xml:space="preserve">Professional standard</w:t>
      </w:r>
    </w:p>
    <w:p>
      <w:pPr>
        <w:spacing w:after="120" w:line="300" w:lineRule="auto"/>
      </w:pPr>
      <w:r>
        <w:rPr>
          <w:rFonts w:ascii="Calibri" w:hAnsi="Calibri"/>
          <w:sz w:val="22"/>
          <w:szCs w:val="22"/>
          <w:color w:val="283548"/>
        </w:rPr>
        <w:t xml:space="preserve">Professional prospecting converts public business evidence into a respectful hypothesis. It never treats a signal as proof of a problem, and it avoids personal or sensitive information that is irrelevant to the business conversation.</w:t>
      </w:r>
    </w:p>
    <w:p>
      <w:pPr>
        <w:pStyle w:val="Heading1"/>
        <w:keepNext/>
      </w:pPr>
      <w:r>
        <w:rPr>
          <w:rFonts w:ascii="Calibri" w:hAnsi="Calibri"/>
        </w:rPr>
        <w:t xml:space="preserve">Professional workflow</w:t>
      </w:r>
    </w:p>
    <w:p>
      <w:pPr>
        <w:numPr>
          <w:ilvl w:val="0"/>
          <w:numId w:val="2"/>
        </w:numPr>
        <w:spacing w:after="80" w:line="300" w:lineRule="auto"/>
      </w:pPr>
      <w:r>
        <w:rPr>
          <w:rFonts w:ascii="Calibri" w:hAnsi="Calibri"/>
          <w:sz w:val="22"/>
          <w:szCs w:val="22"/>
          <w:color w:val="283548"/>
        </w:rPr>
        <w:t xml:space="preserve">Define the recipient, business context, and single desired next step before completing the template. A template without a clear decision is only extra text.</w:t>
      </w:r>
    </w:p>
    <w:p>
      <w:pPr>
        <w:numPr>
          <w:ilvl w:val="0"/>
          <w:numId w:val="2"/>
        </w:numPr>
        <w:spacing w:after="80" w:line="300" w:lineRule="auto"/>
      </w:pPr>
      <w:r>
        <w:rPr>
          <w:rFonts w:ascii="Calibri" w:hAnsi="Calibri"/>
          <w:sz w:val="22"/>
          <w:szCs w:val="22"/>
          <w:color w:val="283548"/>
        </w:rPr>
        <w:t xml:space="preserve">Use specific evidence from public, business-level sources. Separate confirmed facts from hypotheses so you never present an assumption as something you know.</w:t>
      </w:r>
    </w:p>
    <w:p>
      <w:pPr>
        <w:numPr>
          <w:ilvl w:val="0"/>
          <w:numId w:val="2"/>
        </w:numPr>
        <w:spacing w:after="80" w:line="300" w:lineRule="auto"/>
      </w:pPr>
      <w:r>
        <w:rPr>
          <w:rFonts w:ascii="Calibri" w:hAnsi="Calibri"/>
          <w:sz w:val="22"/>
          <w:szCs w:val="22"/>
          <w:color w:val="283548"/>
        </w:rPr>
        <w:t xml:space="preserve">Draft quickly, then edit for relevance, brevity, and natural language. Remove any field that does not help the recipient understand or decide.</w:t>
      </w:r>
    </w:p>
    <w:p>
      <w:pPr>
        <w:numPr>
          <w:ilvl w:val="0"/>
          <w:numId w:val="2"/>
        </w:numPr>
        <w:spacing w:after="80" w:line="300" w:lineRule="auto"/>
      </w:pPr>
      <w:r>
        <w:rPr>
          <w:rFonts w:ascii="Calibri" w:hAnsi="Calibri"/>
          <w:sz w:val="22"/>
          <w:szCs w:val="22"/>
          <w:color w:val="283548"/>
        </w:rPr>
        <w:t xml:space="preserve">Run a final quality check for correct names, dates, links, time zones, and promised attachments before sending or using the finished version.</w:t>
      </w:r>
    </w:p>
    <w:p>
      <w:pPr>
        <w:numPr>
          <w:ilvl w:val="0"/>
          <w:numId w:val="2"/>
        </w:numPr>
        <w:spacing w:after="80" w:line="300" w:lineRule="auto"/>
      </w:pPr>
      <w:r>
        <w:rPr>
          <w:rFonts w:ascii="Calibri" w:hAnsi="Calibri"/>
          <w:sz w:val="22"/>
          <w:szCs w:val="22"/>
          <w:color w:val="283548"/>
        </w:rPr>
        <w:t xml:space="preserve">Keep one clean master copy and duplicate it for each use. Review response quality monthly and improve the underlying template rather than adding more volume.</w:t>
      </w:r>
    </w:p>
    <w:p>
      <w:pPr>
        <w:pStyle w:val="Heading1"/>
        <w:keepNext/>
      </w:pPr>
      <w:r>
        <w:rPr>
          <w:rFonts w:ascii="Calibri" w:hAnsi="Calibri"/>
        </w:rPr>
        <w:t xml:space="preserve">Quality-control review</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200"/>
        <w:gridCol w:w="4118"/>
        <w:gridCol w:w="4042"/>
      </w:tblGrid>
      <w:tr>
        <w:trPr>
          <w:tblHeader/>
        </w:trPr>
        <w:tc>
          <w:tcPr>
            <w:tcW w:w="1200" w:type="dxa"/>
            <w:vAlign w:val="center"/>
            <w:shd w:val="clear" w:color="auto" w:fill="FFF3C4"/>
          </w:tcPr>
          <w:p>
            <w:pPr>
              <w:spacing w:after="40" w:line="280" w:lineRule="auto"/>
            </w:pPr>
            <w:r>
              <w:rPr>
                <w:rFonts w:ascii="Calibri" w:hAnsi="Calibri"/>
                <w:b/>
                <w:sz w:val="19"/>
                <w:szCs w:val="19"/>
                <w:color w:val="6B4F00"/>
              </w:rPr>
              <w:t xml:space="preserve">Review point</w:t>
            </w:r>
          </w:p>
        </w:tc>
        <w:tc>
          <w:tcPr>
            <w:tcW w:w="4118" w:type="dxa"/>
            <w:vAlign w:val="center"/>
            <w:shd w:val="clear" w:color="auto" w:fill="FFF3C4"/>
          </w:tcPr>
          <w:p>
            <w:pPr>
              <w:spacing w:after="40" w:line="280" w:lineRule="auto"/>
            </w:pPr>
            <w:r>
              <w:rPr>
                <w:rFonts w:ascii="Calibri" w:hAnsi="Calibri"/>
                <w:b/>
                <w:sz w:val="19"/>
                <w:szCs w:val="19"/>
                <w:color w:val="6B4F00"/>
              </w:rPr>
              <w:t xml:space="preserve">Professional standard</w:t>
            </w:r>
          </w:p>
        </w:tc>
        <w:tc>
          <w:tcPr>
            <w:tcW w:w="4042" w:type="dxa"/>
            <w:vAlign w:val="center"/>
            <w:shd w:val="clear" w:color="auto" w:fill="FFF3C4"/>
          </w:tcPr>
          <w:p>
            <w:pPr>
              <w:spacing w:after="40" w:line="280" w:lineRule="auto"/>
            </w:pPr>
            <w:r>
              <w:rPr>
                <w:rFonts w:ascii="Calibri" w:hAnsi="Calibri"/>
                <w:b/>
                <w:sz w:val="19"/>
                <w:szCs w:val="19"/>
                <w:color w:val="6B4F00"/>
              </w:rPr>
              <w:t xml:space="preserve">Warning sign</w:t>
            </w:r>
          </w:p>
        </w:tc>
      </w:tr>
      <w:tr>
        <w:tc>
          <w:tcPr>
            <w:tcW w:w="1200" w:type="dxa"/>
            <w:vAlign w:val="center"/>
          </w:tcPr>
          <w:p>
            <w:pPr>
              <w:spacing w:after="40" w:line="280" w:lineRule="auto"/>
            </w:pPr>
            <w:r>
              <w:rPr>
                <w:rFonts w:ascii="Calibri" w:hAnsi="Calibri"/>
                <w:sz w:val="19"/>
                <w:szCs w:val="19"/>
                <w:color w:val="283548"/>
              </w:rPr>
              <w:t xml:space="preserve">Evidence</w:t>
            </w:r>
          </w:p>
        </w:tc>
        <w:tc>
          <w:tcPr>
            <w:tcW w:w="4118" w:type="dxa"/>
            <w:vAlign w:val="center"/>
          </w:tcPr>
          <w:p>
            <w:pPr>
              <w:spacing w:after="40" w:line="280" w:lineRule="auto"/>
            </w:pPr>
            <w:r>
              <w:rPr>
                <w:rFonts w:ascii="Calibri" w:hAnsi="Calibri"/>
                <w:sz w:val="19"/>
                <w:szCs w:val="19"/>
                <w:color w:val="283548"/>
              </w:rPr>
              <w:t xml:space="preserve">The trigger or fit signal has a named public business source.</w:t>
            </w:r>
          </w:p>
        </w:tc>
        <w:tc>
          <w:tcPr>
            <w:tcW w:w="4042" w:type="dxa"/>
            <w:vAlign w:val="center"/>
          </w:tcPr>
          <w:p>
            <w:pPr>
              <w:spacing w:after="40" w:line="280" w:lineRule="auto"/>
            </w:pPr>
            <w:r>
              <w:rPr>
                <w:rFonts w:ascii="Calibri" w:hAnsi="Calibri"/>
                <w:sz w:val="19"/>
                <w:szCs w:val="19"/>
                <w:color w:val="283548"/>
              </w:rPr>
              <w:t xml:space="preserve">A vague assumption is presented as researched fact.</w:t>
            </w:r>
          </w:p>
        </w:tc>
      </w:tr>
      <w:tr>
        <w:tc>
          <w:tcPr>
            <w:tcW w:w="1200" w:type="dxa"/>
            <w:vAlign w:val="center"/>
          </w:tcPr>
          <w:p>
            <w:pPr>
              <w:spacing w:after="40" w:line="280" w:lineRule="auto"/>
            </w:pPr>
            <w:r>
              <w:rPr>
                <w:rFonts w:ascii="Calibri" w:hAnsi="Calibri"/>
                <w:sz w:val="19"/>
                <w:szCs w:val="19"/>
                <w:color w:val="283548"/>
              </w:rPr>
              <w:t xml:space="preserve">Hypothesis</w:t>
            </w:r>
          </w:p>
        </w:tc>
        <w:tc>
          <w:tcPr>
            <w:tcW w:w="4118" w:type="dxa"/>
            <w:vAlign w:val="center"/>
          </w:tcPr>
          <w:p>
            <w:pPr>
              <w:spacing w:after="40" w:line="280" w:lineRule="auto"/>
            </w:pPr>
            <w:r>
              <w:rPr>
                <w:rFonts w:ascii="Calibri" w:hAnsi="Calibri"/>
                <w:sz w:val="19"/>
                <w:szCs w:val="19"/>
                <w:color w:val="283548"/>
              </w:rPr>
              <w:t xml:space="preserve">The possible problem is framed as a question the prospect can correct.</w:t>
            </w:r>
          </w:p>
        </w:tc>
        <w:tc>
          <w:tcPr>
            <w:tcW w:w="4042" w:type="dxa"/>
            <w:vAlign w:val="center"/>
          </w:tcPr>
          <w:p>
            <w:pPr>
              <w:spacing w:after="40" w:line="280" w:lineRule="auto"/>
            </w:pPr>
            <w:r>
              <w:rPr>
                <w:rFonts w:ascii="Calibri" w:hAnsi="Calibri"/>
                <w:sz w:val="19"/>
                <w:szCs w:val="19"/>
                <w:color w:val="283548"/>
              </w:rPr>
              <w:t xml:space="preserve">The message claims to know internal conditions without evidence.</w:t>
            </w:r>
          </w:p>
        </w:tc>
      </w:tr>
      <w:tr>
        <w:tc>
          <w:tcPr>
            <w:tcW w:w="1200" w:type="dxa"/>
            <w:vAlign w:val="center"/>
          </w:tcPr>
          <w:p>
            <w:pPr>
              <w:spacing w:after="40" w:line="280" w:lineRule="auto"/>
            </w:pPr>
            <w:r>
              <w:rPr>
                <w:rFonts w:ascii="Calibri" w:hAnsi="Calibri"/>
                <w:sz w:val="19"/>
                <w:szCs w:val="19"/>
                <w:color w:val="283548"/>
              </w:rPr>
              <w:t xml:space="preserve">Fit</w:t>
            </w:r>
          </w:p>
        </w:tc>
        <w:tc>
          <w:tcPr>
            <w:tcW w:w="4118" w:type="dxa"/>
            <w:vAlign w:val="center"/>
          </w:tcPr>
          <w:p>
            <w:pPr>
              <w:spacing w:after="40" w:line="280" w:lineRule="auto"/>
            </w:pPr>
            <w:r>
              <w:rPr>
                <w:rFonts w:ascii="Calibri" w:hAnsi="Calibri"/>
                <w:sz w:val="19"/>
                <w:szCs w:val="19"/>
                <w:color w:val="283548"/>
              </w:rPr>
              <w:t xml:space="preserve">The account and role plausibly connect to the problem you solve.</w:t>
            </w:r>
          </w:p>
        </w:tc>
        <w:tc>
          <w:tcPr>
            <w:tcW w:w="4042" w:type="dxa"/>
            <w:vAlign w:val="center"/>
          </w:tcPr>
          <w:p>
            <w:pPr>
              <w:spacing w:after="40" w:line="280" w:lineRule="auto"/>
            </w:pPr>
            <w:r>
              <w:rPr>
                <w:rFonts w:ascii="Calibri" w:hAnsi="Calibri"/>
                <w:sz w:val="19"/>
                <w:szCs w:val="19"/>
                <w:color w:val="283548"/>
              </w:rPr>
              <w:t xml:space="preserve">Targeting is based only on job title or company size.</w:t>
            </w:r>
          </w:p>
        </w:tc>
      </w:tr>
      <w:tr>
        <w:tc>
          <w:tcPr>
            <w:tcW w:w="1200" w:type="dxa"/>
            <w:vAlign w:val="center"/>
          </w:tcPr>
          <w:p>
            <w:pPr>
              <w:spacing w:after="40" w:line="280" w:lineRule="auto"/>
            </w:pPr>
            <w:r>
              <w:rPr>
                <w:rFonts w:ascii="Calibri" w:hAnsi="Calibri"/>
                <w:sz w:val="19"/>
                <w:szCs w:val="19"/>
                <w:color w:val="283548"/>
              </w:rPr>
              <w:t xml:space="preserve">Privacy</w:t>
            </w:r>
          </w:p>
        </w:tc>
        <w:tc>
          <w:tcPr>
            <w:tcW w:w="4118" w:type="dxa"/>
            <w:vAlign w:val="center"/>
          </w:tcPr>
          <w:p>
            <w:pPr>
              <w:spacing w:after="40" w:line="280" w:lineRule="auto"/>
            </w:pPr>
            <w:r>
              <w:rPr>
                <w:rFonts w:ascii="Calibri" w:hAnsi="Calibri"/>
                <w:sz w:val="19"/>
                <w:szCs w:val="19"/>
                <w:color w:val="283548"/>
              </w:rPr>
              <w:t xml:space="preserve">Notes contain only necessary business-level information.</w:t>
            </w:r>
          </w:p>
        </w:tc>
        <w:tc>
          <w:tcPr>
            <w:tcW w:w="4042" w:type="dxa"/>
            <w:vAlign w:val="center"/>
          </w:tcPr>
          <w:p>
            <w:pPr>
              <w:spacing w:after="40" w:line="280" w:lineRule="auto"/>
            </w:pPr>
            <w:r>
              <w:rPr>
                <w:rFonts w:ascii="Calibri" w:hAnsi="Calibri"/>
                <w:sz w:val="19"/>
                <w:szCs w:val="19"/>
                <w:color w:val="283548"/>
              </w:rPr>
              <w:t xml:space="preserve">Personal, sensitive, or unrelated details are collected.</w:t>
            </w:r>
          </w:p>
        </w:tc>
      </w:tr>
    </w:tbl>
    <w:p>
      <w:pPr>
        <w:spacing w:after="80"/>
      </w:pPr>
      <w:r>
        <w:rPr>
          <w:rFonts w:ascii="Calibri" w:hAnsi="Calibri"/>
        </w:rPr>
        <w:t xml:space="preserve"/>
      </w:r>
    </w:p>
    <w:p>
      <w:pPr>
        <w:pStyle w:val="Heading1"/>
        <w:keepNext/>
      </w:pPr>
      <w:r>
        <w:rPr>
          <w:rFonts w:ascii="Calibri" w:hAnsi="Calibri"/>
        </w:rPr>
        <w:t xml:space="preserve">Evidence and improvement signals</w:t>
      </w:r>
    </w:p>
    <w:p>
      <w:pPr>
        <w:numPr>
          <w:ilvl w:val="0"/>
          <w:numId w:val="1"/>
        </w:numPr>
        <w:spacing w:after="80" w:line="300" w:lineRule="auto"/>
      </w:pPr>
      <w:r>
        <w:rPr>
          <w:rFonts w:ascii="Calibri" w:hAnsi="Calibri"/>
          <w:sz w:val="22"/>
          <w:szCs w:val="22"/>
          <w:color w:val="283548"/>
        </w:rPr>
        <w:t xml:space="preserve">Track the percentage of researched hypotheses the prospect confirms, corrects, or rejects.</w:t>
      </w:r>
    </w:p>
    <w:p>
      <w:pPr>
        <w:numPr>
          <w:ilvl w:val="0"/>
          <w:numId w:val="1"/>
        </w:numPr>
        <w:spacing w:after="80" w:line="300" w:lineRule="auto"/>
      </w:pPr>
      <w:r>
        <w:rPr>
          <w:rFonts w:ascii="Calibri" w:hAnsi="Calibri"/>
          <w:sz w:val="22"/>
          <w:szCs w:val="22"/>
          <w:color w:val="283548"/>
        </w:rPr>
        <w:t xml:space="preserve">Review sources for recency and distinguish company facts from your interpretation.</w:t>
      </w:r>
    </w:p>
    <w:p>
      <w:pPr>
        <w:numPr>
          <w:ilvl w:val="0"/>
          <w:numId w:val="1"/>
        </w:numPr>
        <w:spacing w:after="80" w:line="300" w:lineRule="auto"/>
      </w:pPr>
      <w:r>
        <w:rPr>
          <w:rFonts w:ascii="Calibri" w:hAnsi="Calibri"/>
          <w:sz w:val="22"/>
          <w:szCs w:val="22"/>
          <w:color w:val="283548"/>
        </w:rPr>
        <w:t xml:space="preserve">Measure conversation quality by relevance, not by the amount of information collected.</w:t>
      </w:r>
    </w:p>
    <w:p>
      <w:pPr>
        <w:numPr>
          <w:ilvl w:val="0"/>
          <w:numId w:val="1"/>
        </w:numPr>
        <w:spacing w:after="80" w:line="300" w:lineRule="auto"/>
      </w:pPr>
      <w:r>
        <w:rPr>
          <w:rFonts w:ascii="Calibri" w:hAnsi="Calibri"/>
          <w:sz w:val="22"/>
          <w:szCs w:val="22"/>
          <w:color w:val="283548"/>
        </w:rPr>
        <w:t xml:space="preserve">Update your ICP when repeated evidence shows a segment is a poor fit.</w:t>
      </w:r>
    </w:p>
    <w:p>
      <w:pPr>
        <w:pStyle w:val="Heading1"/>
        <w:keepNext/>
      </w:pPr>
      <w:r>
        <w:rPr>
          <w:rFonts w:ascii="Calibri" w:hAnsi="Calibri"/>
        </w:rPr>
        <w:t xml:space="preserve">Worked example</w:t>
      </w:r>
    </w:p>
    <w:p>
      <w:pPr>
        <w:spacing w:after="120" w:line="300" w:lineRule="auto"/>
      </w:pPr>
      <w:r>
        <w:rPr>
          <w:rFonts w:ascii="Calibri" w:hAnsi="Calibri"/>
          <w:sz w:val="22"/>
          <w:szCs w:val="22"/>
          <w:color w:val="283548"/>
        </w:rPr>
        <w:t xml:space="preserve">Company: regional courier, 40 staff. Role: operations lead. Signal: public job post for five new drivers. Plausible problem: onboarding and scheduling get harder as the team grows quickly. Opening question: "As you add drivers, how are you keeping scheduling consistent?"</w:t>
      </w:r>
    </w:p>
    <w:p>
      <w:pPr>
        <w:pStyle w:val="Heading1"/>
        <w:keepNext/>
      </w:pPr>
      <w:r>
        <w:rPr>
          <w:rFonts w:ascii="Calibri" w:hAnsi="Calibri"/>
        </w:rPr>
        <w:t xml:space="preserve">Safe-practice note</w:t>
      </w:r>
    </w:p>
    <w:p>
      <w:pPr>
        <w:spacing w:after="120" w:line="300" w:lineRule="auto"/>
      </w:pPr>
      <w:r>
        <w:rPr>
          <w:rFonts w:ascii="Calibri" w:hAnsi="Calibri"/>
          <w:sz w:val="22"/>
          <w:szCs w:val="22"/>
          <w:color w:val="283548"/>
        </w:rPr>
        <w:t xml:space="preserve">Use only public, business-level information. Never store personal phone numbers, home addresses, or private details in this brief. Research to be relevant, not intrusive.</w:t>
      </w:r>
    </w:p>
    <w:p>
      <w:pPr>
        <w:spacing w:before="240" w:after="40"/>
      </w:pPr>
      <w:r>
        <w:rPr>
          <w:rFonts w:ascii="Calibri" w:hAnsi="Calibri"/>
          <w:sz w:val="17"/>
          <w:szCs w:val="17"/>
          <w:color w:val="7B8494"/>
        </w:rPr>
        <w:t xml:space="preserve">Last reviewed: 2026-07-28 | AmplifyHub Practical Resource Library</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7B8494"/>
        <w:sz w:val="16"/>
      </w:rPr>
      <w:t>AmplifyHub  |  Page </w:t>
    </w:r>
    <w:fldSimple w:instr="PAGE">
      <w:r>
        <w:rPr>
          <w:color w:val="7B8494"/>
          <w:sz w:val="16"/>
        </w:rPr>
        <w:t>1</w:t>
      </w:r>
    </w:fldSimple>
  </w:p>
</w:ftr>
</file>

<file path=word/header1.xml><?xml version="1.0" encoding="utf-8"?>
<w:hdr xmlns:w="http://schemas.openxmlformats.org/wordprocessingml/2006/main">
  <w:p>
    <w:pPr>
      <w:spacing w:after="40"/>
    </w:pPr>
    <w:r>
      <w:rPr>
        <w:rFonts w:ascii="Calibri" w:hAnsi="Calibri"/>
        <w:b/>
        <w:sz w:val="16"/>
        <w:szCs w:val="16"/>
        <w:color w:val="8A6200"/>
      </w:rPr>
      <w:t xml:space="preserve">AMPLIFYHUB  |  PRACTICAL RESOURCE LIBRARY</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
    <w:multiLevelType w:val="singleLevel"/>
    <w:lvl w:ilvl="0">
      <w:start w:val="1"/>
      <w:numFmt w:val="decimal"/>
      <w:lvlText w:val="%1."/>
      <w:lvlJc w:val="left"/>
      <w:pPr>
        <w:tabs>
          <w:tab w:val="num" w:pos="540"/>
        </w:tabs>
        <w:ind w:left="540" w:hanging="270"/>
        <w:spacing w:after="80" w:line="30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283548"/>
    </w:rPr>
  </w:style>
  <w:style w:type="paragraph" w:styleId="Title">
    <w:name w:val="Title"/>
    <w:pPr>
      <w:keepNext/>
      <w:spacing w:after="120"/>
    </w:pPr>
    <w:rPr>
      <w:rFonts w:ascii="Calibri" w:hAnsi="Calibri"/>
      <w:b/>
      <w:sz w:val="56"/>
      <w:color w:val="172033"/>
    </w:rPr>
  </w:style>
  <w:style w:type="paragraph" w:styleId="Heading1">
    <w:name w:val="Heading 1"/>
    <w:pPr>
      <w:keepNext/>
      <w:spacing w:before="280" w:after="140"/>
    </w:pPr>
    <w:rPr>
      <w:rFonts w:ascii="Calibri" w:hAnsi="Calibri"/>
      <w:b/>
      <w:sz w:val="30"/>
      <w:color w:val="8A62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