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Three-Touch Follow-Up Sequence</w:t>
      </w:r>
    </w:p>
    <w:p>
      <w:pPr>
        <w:spacing w:after="100"/>
      </w:pPr>
      <w:r>
        <w:rPr>
          <w:rFonts w:ascii="Calibri" w:hAnsi="Calibri"/>
          <w:b/>
          <w:sz w:val="18"/>
          <w:szCs w:val="18"/>
          <w:color w:val="6B7280"/>
        </w:rPr>
        <w:t xml:space="preserve">TEMPLATE | SKILL: FOLLOW-UP | DIFFICULTY: BEGINNER | EST. 9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short, respectful three-message follow-up where each touch adds a different useful angle — a recap, a relevant insight, and a permission-to-close — instead of repeating "just checking in".</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Write three follow-ups that each add new value</w:t>
      </w:r>
    </w:p>
    <w:p>
      <w:pPr>
        <w:numPr>
          <w:ilvl w:val="0"/>
          <w:numId w:val="1"/>
        </w:numPr>
        <w:spacing w:after="80" w:line="300" w:lineRule="auto"/>
      </w:pPr>
      <w:r>
        <w:rPr>
          <w:rFonts w:ascii="Calibri" w:hAnsi="Calibri"/>
          <w:sz w:val="22"/>
          <w:szCs w:val="22"/>
          <w:color w:val="283548"/>
        </w:rPr>
        <w:t xml:space="preserve">Space the messages out with clear timing</w:t>
      </w:r>
    </w:p>
    <w:p>
      <w:pPr>
        <w:numPr>
          <w:ilvl w:val="0"/>
          <w:numId w:val="1"/>
        </w:numPr>
        <w:spacing w:after="80" w:line="300" w:lineRule="auto"/>
      </w:pPr>
      <w:r>
        <w:rPr>
          <w:rFonts w:ascii="Calibri" w:hAnsi="Calibri"/>
          <w:sz w:val="22"/>
          <w:szCs w:val="22"/>
          <w:color w:val="283548"/>
        </w:rPr>
        <w:t xml:space="preserve">Reference something specific from the call</w:t>
      </w:r>
    </w:p>
    <w:p>
      <w:pPr>
        <w:numPr>
          <w:ilvl w:val="0"/>
          <w:numId w:val="1"/>
        </w:numPr>
        <w:spacing w:after="80" w:line="300" w:lineRule="auto"/>
      </w:pPr>
      <w:r>
        <w:rPr>
          <w:rFonts w:ascii="Calibri" w:hAnsi="Calibri"/>
          <w:sz w:val="22"/>
          <w:szCs w:val="22"/>
          <w:color w:val="283548"/>
        </w:rPr>
        <w:t xml:space="preserve">End the sequence with a respectful close</w:t>
      </w:r>
    </w:p>
    <w:p>
      <w:pPr>
        <w:pStyle w:val="Heading1"/>
        <w:keepNext/>
      </w:pPr>
      <w:r>
        <w:rPr>
          <w:rFonts w:ascii="Calibri" w:hAnsi="Calibri"/>
        </w:rPr>
        <w:t xml:space="preserve">The sequence</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2657"/>
        <w:gridCol w:w="1617"/>
        <w:gridCol w:w="5086"/>
      </w:tblGrid>
      <w:tr>
        <w:trPr>
          <w:tblHeader/>
        </w:trPr>
        <w:tc>
          <w:tcPr>
            <w:tcW w:w="2657" w:type="dxa"/>
            <w:vAlign w:val="center"/>
            <w:shd w:val="clear" w:color="auto" w:fill="FFF3C4"/>
          </w:tcPr>
          <w:p>
            <w:pPr>
              <w:spacing w:after="40" w:line="280" w:lineRule="auto"/>
            </w:pPr>
            <w:r>
              <w:rPr>
                <w:rFonts w:ascii="Calibri" w:hAnsi="Calibri"/>
                <w:b/>
                <w:sz w:val="19"/>
                <w:szCs w:val="19"/>
                <w:color w:val="6B4F00"/>
              </w:rPr>
              <w:t xml:space="preserve">Touch</w:t>
            </w:r>
          </w:p>
        </w:tc>
        <w:tc>
          <w:tcPr>
            <w:tcW w:w="1617" w:type="dxa"/>
            <w:vAlign w:val="center"/>
            <w:shd w:val="clear" w:color="auto" w:fill="FFF3C4"/>
          </w:tcPr>
          <w:p>
            <w:pPr>
              <w:spacing w:after="40" w:line="280" w:lineRule="auto"/>
            </w:pPr>
            <w:r>
              <w:rPr>
                <w:rFonts w:ascii="Calibri" w:hAnsi="Calibri"/>
                <w:b/>
                <w:sz w:val="19"/>
                <w:szCs w:val="19"/>
                <w:color w:val="6B4F00"/>
              </w:rPr>
              <w:t xml:space="preserve">Timing</w:t>
            </w:r>
          </w:p>
        </w:tc>
        <w:tc>
          <w:tcPr>
            <w:tcW w:w="5086" w:type="dxa"/>
            <w:vAlign w:val="center"/>
            <w:shd w:val="clear" w:color="auto" w:fill="FFF3C4"/>
          </w:tcPr>
          <w:p>
            <w:pPr>
              <w:spacing w:after="40" w:line="280" w:lineRule="auto"/>
            </w:pPr>
            <w:r>
              <w:rPr>
                <w:rFonts w:ascii="Calibri" w:hAnsi="Calibri"/>
                <w:b/>
                <w:sz w:val="19"/>
                <w:szCs w:val="19"/>
                <w:color w:val="6B4F00"/>
              </w:rPr>
              <w:t xml:space="preserve">Angle</w:t>
            </w:r>
          </w:p>
        </w:tc>
      </w:tr>
      <w:tr>
        <w:tc>
          <w:tcPr>
            <w:tcW w:w="2657" w:type="dxa"/>
            <w:vAlign w:val="center"/>
          </w:tcPr>
          <w:p>
            <w:pPr>
              <w:spacing w:after="40" w:line="280" w:lineRule="auto"/>
            </w:pPr>
            <w:r>
              <w:rPr>
                <w:rFonts w:ascii="Calibri" w:hAnsi="Calibri"/>
                <w:sz w:val="19"/>
                <w:szCs w:val="19"/>
                <w:color w:val="283548"/>
              </w:rPr>
              <w:t xml:space="preserve">1 — Recap</w:t>
            </w:r>
          </w:p>
        </w:tc>
        <w:tc>
          <w:tcPr>
            <w:tcW w:w="1617" w:type="dxa"/>
            <w:vAlign w:val="center"/>
          </w:tcPr>
          <w:p>
            <w:pPr>
              <w:spacing w:after="40" w:line="280" w:lineRule="auto"/>
            </w:pPr>
            <w:r>
              <w:rPr>
                <w:rFonts w:ascii="Calibri" w:hAnsi="Calibri"/>
                <w:sz w:val="19"/>
                <w:szCs w:val="19"/>
                <w:color w:val="283548"/>
              </w:rPr>
              <w:t xml:space="preserve">Same day</w:t>
            </w:r>
          </w:p>
        </w:tc>
        <w:tc>
          <w:tcPr>
            <w:tcW w:w="5086" w:type="dxa"/>
            <w:vAlign w:val="center"/>
          </w:tcPr>
          <w:p>
            <w:pPr>
              <w:spacing w:after="40" w:line="280" w:lineRule="auto"/>
            </w:pPr>
            <w:r>
              <w:rPr>
                <w:rFonts w:ascii="Calibri" w:hAnsi="Calibri"/>
                <w:sz w:val="19"/>
                <w:szCs w:val="19"/>
                <w:color w:val="283548"/>
              </w:rPr>
              <w:t xml:space="preserve">Thank them, recap what you discussed, restate the next step.</w:t>
            </w:r>
          </w:p>
        </w:tc>
      </w:tr>
      <w:tr>
        <w:tc>
          <w:tcPr>
            <w:tcW w:w="2657" w:type="dxa"/>
            <w:vAlign w:val="center"/>
          </w:tcPr>
          <w:p>
            <w:pPr>
              <w:spacing w:after="40" w:line="280" w:lineRule="auto"/>
            </w:pPr>
            <w:r>
              <w:rPr>
                <w:rFonts w:ascii="Calibri" w:hAnsi="Calibri"/>
                <w:sz w:val="19"/>
                <w:szCs w:val="19"/>
                <w:color w:val="283548"/>
              </w:rPr>
              <w:t xml:space="preserve">2 — Insight</w:t>
            </w:r>
          </w:p>
        </w:tc>
        <w:tc>
          <w:tcPr>
            <w:tcW w:w="1617" w:type="dxa"/>
            <w:vAlign w:val="center"/>
          </w:tcPr>
          <w:p>
            <w:pPr>
              <w:spacing w:after="40" w:line="280" w:lineRule="auto"/>
            </w:pPr>
            <w:r>
              <w:rPr>
                <w:rFonts w:ascii="Calibri" w:hAnsi="Calibri"/>
                <w:sz w:val="19"/>
                <w:szCs w:val="19"/>
                <w:color w:val="283548"/>
              </w:rPr>
              <w:t xml:space="preserve">2–3 days later</w:t>
            </w:r>
          </w:p>
        </w:tc>
        <w:tc>
          <w:tcPr>
            <w:tcW w:w="5086" w:type="dxa"/>
            <w:vAlign w:val="center"/>
          </w:tcPr>
          <w:p>
            <w:pPr>
              <w:spacing w:after="40" w:line="280" w:lineRule="auto"/>
            </w:pPr>
            <w:r>
              <w:rPr>
                <w:rFonts w:ascii="Calibri" w:hAnsi="Calibri"/>
                <w:sz w:val="19"/>
                <w:szCs w:val="19"/>
                <w:color w:val="283548"/>
              </w:rPr>
              <w:t xml:space="preserve">Share one relevant, genuinely useful idea or resource.</w:t>
            </w:r>
          </w:p>
        </w:tc>
      </w:tr>
      <w:tr>
        <w:tc>
          <w:tcPr>
            <w:tcW w:w="2657" w:type="dxa"/>
            <w:vAlign w:val="center"/>
          </w:tcPr>
          <w:p>
            <w:pPr>
              <w:spacing w:after="40" w:line="280" w:lineRule="auto"/>
            </w:pPr>
            <w:r>
              <w:rPr>
                <w:rFonts w:ascii="Calibri" w:hAnsi="Calibri"/>
                <w:sz w:val="19"/>
                <w:szCs w:val="19"/>
                <w:color w:val="283548"/>
              </w:rPr>
              <w:t xml:space="preserve">3 — Permission to close</w:t>
            </w:r>
          </w:p>
        </w:tc>
        <w:tc>
          <w:tcPr>
            <w:tcW w:w="1617" w:type="dxa"/>
            <w:vAlign w:val="center"/>
          </w:tcPr>
          <w:p>
            <w:pPr>
              <w:spacing w:after="40" w:line="280" w:lineRule="auto"/>
            </w:pPr>
            <w:r>
              <w:rPr>
                <w:rFonts w:ascii="Calibri" w:hAnsi="Calibri"/>
                <w:sz w:val="19"/>
                <w:szCs w:val="19"/>
                <w:color w:val="283548"/>
              </w:rPr>
              <w:t xml:space="preserve">4–5 days later</w:t>
            </w:r>
          </w:p>
        </w:tc>
        <w:tc>
          <w:tcPr>
            <w:tcW w:w="5086" w:type="dxa"/>
            <w:vAlign w:val="center"/>
          </w:tcPr>
          <w:p>
            <w:pPr>
              <w:spacing w:after="40" w:line="280" w:lineRule="auto"/>
            </w:pPr>
            <w:r>
              <w:rPr>
                <w:rFonts w:ascii="Calibri" w:hAnsi="Calibri"/>
                <w:sz w:val="19"/>
                <w:szCs w:val="19"/>
                <w:color w:val="283548"/>
              </w:rPr>
              <w:t xml:space="preserve">Ask if you should keep this open or close it out for now.</w:t>
            </w:r>
          </w:p>
        </w:tc>
      </w:tr>
    </w:tbl>
    <w:p>
      <w:pPr>
        <w:spacing w:after="80"/>
      </w:pPr>
      <w:r>
        <w:rPr>
          <w:rFonts w:ascii="Calibri" w:hAnsi="Calibri"/>
        </w:rPr>
        <w:t xml:space="preserve"/>
      </w:r>
    </w:p>
    <w:p>
      <w:pPr>
        <w:pStyle w:val="Heading1"/>
        <w:keepNext/>
      </w:pPr>
      <w:r>
        <w:rPr>
          <w:rFonts w:ascii="Calibri" w:hAnsi="Calibri"/>
        </w:rPr>
        <w:t xml:space="preserve">Fill in before sending</w:t>
      </w:r>
    </w:p>
    <w:p>
      <w:pPr>
        <w:numPr>
          <w:ilvl w:val="0"/>
          <w:numId w:val="1"/>
        </w:numPr>
        <w:spacing w:after="80" w:line="300" w:lineRule="auto"/>
      </w:pPr>
      <w:r>
        <w:rPr>
          <w:rFonts w:ascii="Calibri" w:hAnsi="Calibri"/>
          <w:sz w:val="22"/>
          <w:szCs w:val="22"/>
          <w:color w:val="283548"/>
        </w:rPr>
        <w:t xml:space="preserve">Prospect name and role: ______________________________</w:t>
      </w:r>
    </w:p>
    <w:p>
      <w:pPr>
        <w:numPr>
          <w:ilvl w:val="0"/>
          <w:numId w:val="1"/>
        </w:numPr>
        <w:spacing w:after="80" w:line="300" w:lineRule="auto"/>
      </w:pPr>
      <w:r>
        <w:rPr>
          <w:rFonts w:ascii="Calibri" w:hAnsi="Calibri"/>
          <w:sz w:val="22"/>
          <w:szCs w:val="22"/>
          <w:color w:val="283548"/>
        </w:rPr>
        <w:t xml:space="preserve">The specific problem or comment from the call: ______________________________</w:t>
      </w:r>
    </w:p>
    <w:p>
      <w:pPr>
        <w:numPr>
          <w:ilvl w:val="0"/>
          <w:numId w:val="1"/>
        </w:numPr>
        <w:spacing w:after="80" w:line="300" w:lineRule="auto"/>
      </w:pPr>
      <w:r>
        <w:rPr>
          <w:rFonts w:ascii="Calibri" w:hAnsi="Calibri"/>
          <w:sz w:val="22"/>
          <w:szCs w:val="22"/>
          <w:color w:val="283548"/>
        </w:rPr>
        <w:t xml:space="preserve">The one insight or resource for touch 2: ______________________________</w:t>
      </w:r>
    </w:p>
    <w:p>
      <w:pPr>
        <w:numPr>
          <w:ilvl w:val="0"/>
          <w:numId w:val="1"/>
        </w:numPr>
        <w:spacing w:after="80" w:line="300" w:lineRule="auto"/>
      </w:pPr>
      <w:r>
        <w:rPr>
          <w:rFonts w:ascii="Calibri" w:hAnsi="Calibri"/>
          <w:sz w:val="22"/>
          <w:szCs w:val="22"/>
          <w:color w:val="283548"/>
        </w:rPr>
        <w:t xml:space="preserve">The clear next step you are proposing: ______________________________</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follow-up adds context or value each time and makes the next decision easy. It is a planned sequence with sensible spacing, not repeated reminders that create pressure.</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Define the recipient, business context, and single desired next step before completing the template. A template without a clear decision is only extra text.</w:t>
      </w:r>
    </w:p>
    <w:p>
      <w:pPr>
        <w:numPr>
          <w:ilvl w:val="0"/>
          <w:numId w:val="2"/>
        </w:numPr>
        <w:spacing w:after="80" w:line="300" w:lineRule="auto"/>
      </w:pPr>
      <w:r>
        <w:rPr>
          <w:rFonts w:ascii="Calibri" w:hAnsi="Calibri"/>
          <w:sz w:val="22"/>
          <w:szCs w:val="22"/>
          <w:color w:val="283548"/>
        </w:rPr>
        <w:t xml:space="preserve">Use specific evidence from public, business-level sources. Separate confirmed facts from hypotheses so you never present an assumption as something you know.</w:t>
      </w:r>
    </w:p>
    <w:p>
      <w:pPr>
        <w:numPr>
          <w:ilvl w:val="0"/>
          <w:numId w:val="2"/>
        </w:numPr>
        <w:spacing w:after="80" w:line="300" w:lineRule="auto"/>
      </w:pPr>
      <w:r>
        <w:rPr>
          <w:rFonts w:ascii="Calibri" w:hAnsi="Calibri"/>
          <w:sz w:val="22"/>
          <w:szCs w:val="22"/>
          <w:color w:val="283548"/>
        </w:rPr>
        <w:t xml:space="preserve">Draft quickly, then edit for relevance, brevity, and natural language. Remove any field that does not help the recipient understand or decide.</w:t>
      </w:r>
    </w:p>
    <w:p>
      <w:pPr>
        <w:numPr>
          <w:ilvl w:val="0"/>
          <w:numId w:val="2"/>
        </w:numPr>
        <w:spacing w:after="80" w:line="300" w:lineRule="auto"/>
      </w:pPr>
      <w:r>
        <w:rPr>
          <w:rFonts w:ascii="Calibri" w:hAnsi="Calibri"/>
          <w:sz w:val="22"/>
          <w:szCs w:val="22"/>
          <w:color w:val="283548"/>
        </w:rPr>
        <w:t xml:space="preserve">Run a final quality check for correct names, dates, links, time zones, and promised attachments before sending or using the finished version.</w:t>
      </w:r>
    </w:p>
    <w:p>
      <w:pPr>
        <w:numPr>
          <w:ilvl w:val="0"/>
          <w:numId w:val="2"/>
        </w:numPr>
        <w:spacing w:after="80" w:line="300" w:lineRule="auto"/>
      </w:pPr>
      <w:r>
        <w:rPr>
          <w:rFonts w:ascii="Calibri" w:hAnsi="Calibri"/>
          <w:sz w:val="22"/>
          <w:szCs w:val="22"/>
          <w:color w:val="283548"/>
        </w:rPr>
        <w:t xml:space="preserve">Keep one clean master copy and duplicate it for each use. Review response quality monthly and improve the underlying template rather than adding more volume.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Continuity</w:t>
            </w:r>
          </w:p>
        </w:tc>
        <w:tc>
          <w:tcPr>
            <w:tcW w:w="4118" w:type="dxa"/>
            <w:vAlign w:val="center"/>
          </w:tcPr>
          <w:p>
            <w:pPr>
              <w:spacing w:after="40" w:line="280" w:lineRule="auto"/>
            </w:pPr>
            <w:r>
              <w:rPr>
                <w:rFonts w:ascii="Calibri" w:hAnsi="Calibri"/>
                <w:sz w:val="19"/>
                <w:szCs w:val="19"/>
                <w:color w:val="283548"/>
              </w:rPr>
              <w:t xml:space="preserve">The message accurately references the previous interaction or public event.</w:t>
            </w:r>
          </w:p>
        </w:tc>
        <w:tc>
          <w:tcPr>
            <w:tcW w:w="4042" w:type="dxa"/>
            <w:vAlign w:val="center"/>
          </w:tcPr>
          <w:p>
            <w:pPr>
              <w:spacing w:after="40" w:line="280" w:lineRule="auto"/>
            </w:pPr>
            <w:r>
              <w:rPr>
                <w:rFonts w:ascii="Calibri" w:hAnsi="Calibri"/>
                <w:sz w:val="19"/>
                <w:szCs w:val="19"/>
                <w:color w:val="283548"/>
              </w:rPr>
              <w:t xml:space="preserve">It implies a conversation, promise, or relationship that did not occur.</w:t>
            </w:r>
          </w:p>
        </w:tc>
      </w:tr>
      <w:tr>
        <w:tc>
          <w:tcPr>
            <w:tcW w:w="1200" w:type="dxa"/>
            <w:vAlign w:val="center"/>
          </w:tcPr>
          <w:p>
            <w:pPr>
              <w:spacing w:after="40" w:line="280" w:lineRule="auto"/>
            </w:pPr>
            <w:r>
              <w:rPr>
                <w:rFonts w:ascii="Calibri" w:hAnsi="Calibri"/>
                <w:sz w:val="19"/>
                <w:szCs w:val="19"/>
                <w:color w:val="283548"/>
              </w:rPr>
              <w:t xml:space="preserve">New value</w:t>
            </w:r>
          </w:p>
        </w:tc>
        <w:tc>
          <w:tcPr>
            <w:tcW w:w="4118" w:type="dxa"/>
            <w:vAlign w:val="center"/>
          </w:tcPr>
          <w:p>
            <w:pPr>
              <w:spacing w:after="40" w:line="280" w:lineRule="auto"/>
            </w:pPr>
            <w:r>
              <w:rPr>
                <w:rFonts w:ascii="Calibri" w:hAnsi="Calibri"/>
                <w:sz w:val="19"/>
                <w:szCs w:val="19"/>
                <w:color w:val="283548"/>
              </w:rPr>
              <w:t xml:space="preserve">Each touch adds a useful detail, answer, or relevant resource.</w:t>
            </w:r>
          </w:p>
        </w:tc>
        <w:tc>
          <w:tcPr>
            <w:tcW w:w="4042" w:type="dxa"/>
            <w:vAlign w:val="center"/>
          </w:tcPr>
          <w:p>
            <w:pPr>
              <w:spacing w:after="40" w:line="280" w:lineRule="auto"/>
            </w:pPr>
            <w:r>
              <w:rPr>
                <w:rFonts w:ascii="Calibri" w:hAnsi="Calibri"/>
                <w:sz w:val="19"/>
                <w:szCs w:val="19"/>
                <w:color w:val="283548"/>
              </w:rPr>
              <w:t xml:space="preserve">Every message repeats the same request with different wording.</w:t>
            </w:r>
          </w:p>
        </w:tc>
      </w:tr>
      <w:tr>
        <w:tc>
          <w:tcPr>
            <w:tcW w:w="1200" w:type="dxa"/>
            <w:vAlign w:val="center"/>
          </w:tcPr>
          <w:p>
            <w:pPr>
              <w:spacing w:after="40" w:line="280" w:lineRule="auto"/>
            </w:pPr>
            <w:r>
              <w:rPr>
                <w:rFonts w:ascii="Calibri" w:hAnsi="Calibri"/>
                <w:sz w:val="19"/>
                <w:szCs w:val="19"/>
                <w:color w:val="283548"/>
              </w:rPr>
              <w:t xml:space="preserve">Timing</w:t>
            </w:r>
          </w:p>
        </w:tc>
        <w:tc>
          <w:tcPr>
            <w:tcW w:w="4118" w:type="dxa"/>
            <w:vAlign w:val="center"/>
          </w:tcPr>
          <w:p>
            <w:pPr>
              <w:spacing w:after="40" w:line="280" w:lineRule="auto"/>
            </w:pPr>
            <w:r>
              <w:rPr>
                <w:rFonts w:ascii="Calibri" w:hAnsi="Calibri"/>
                <w:sz w:val="19"/>
                <w:szCs w:val="19"/>
                <w:color w:val="283548"/>
              </w:rPr>
              <w:t xml:space="preserve">Spacing reflects the buying context and urgency is genuine.</w:t>
            </w:r>
          </w:p>
        </w:tc>
        <w:tc>
          <w:tcPr>
            <w:tcW w:w="4042" w:type="dxa"/>
            <w:vAlign w:val="center"/>
          </w:tcPr>
          <w:p>
            <w:pPr>
              <w:spacing w:after="40" w:line="280" w:lineRule="auto"/>
            </w:pPr>
            <w:r>
              <w:rPr>
                <w:rFonts w:ascii="Calibri" w:hAnsi="Calibri"/>
                <w:sz w:val="19"/>
                <w:szCs w:val="19"/>
                <w:color w:val="283548"/>
              </w:rPr>
              <w:t xml:space="preserve">Daily or rapid contact is used to force a response.</w:t>
            </w:r>
          </w:p>
        </w:tc>
      </w:tr>
      <w:tr>
        <w:tc>
          <w:tcPr>
            <w:tcW w:w="1200" w:type="dxa"/>
            <w:vAlign w:val="center"/>
          </w:tcPr>
          <w:p>
            <w:pPr>
              <w:spacing w:after="40" w:line="280" w:lineRule="auto"/>
            </w:pPr>
            <w:r>
              <w:rPr>
                <w:rFonts w:ascii="Calibri" w:hAnsi="Calibri"/>
                <w:sz w:val="19"/>
                <w:szCs w:val="19"/>
                <w:color w:val="283548"/>
              </w:rPr>
              <w:t xml:space="preserve">Closure</w:t>
            </w:r>
          </w:p>
        </w:tc>
        <w:tc>
          <w:tcPr>
            <w:tcW w:w="4118" w:type="dxa"/>
            <w:vAlign w:val="center"/>
          </w:tcPr>
          <w:p>
            <w:pPr>
              <w:spacing w:after="40" w:line="280" w:lineRule="auto"/>
            </w:pPr>
            <w:r>
              <w:rPr>
                <w:rFonts w:ascii="Calibri" w:hAnsi="Calibri"/>
                <w:sz w:val="19"/>
                <w:szCs w:val="19"/>
                <w:color w:val="283548"/>
              </w:rPr>
              <w:t xml:space="preserve">The sequence has a clear, respectful stopping point.</w:t>
            </w:r>
          </w:p>
        </w:tc>
        <w:tc>
          <w:tcPr>
            <w:tcW w:w="4042" w:type="dxa"/>
            <w:vAlign w:val="center"/>
          </w:tcPr>
          <w:p>
            <w:pPr>
              <w:spacing w:after="40" w:line="280" w:lineRule="auto"/>
            </w:pPr>
            <w:r>
              <w:rPr>
                <w:rFonts w:ascii="Calibri" w:hAnsi="Calibri"/>
                <w:sz w:val="19"/>
                <w:szCs w:val="19"/>
                <w:color w:val="283548"/>
              </w:rPr>
              <w:t xml:space="preserve">Silence automatically triggers indefinite outreach.</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Track positive replies, negative replies, no response, and timing deferrals separately.</w:t>
      </w:r>
    </w:p>
    <w:p>
      <w:pPr>
        <w:numPr>
          <w:ilvl w:val="0"/>
          <w:numId w:val="1"/>
        </w:numPr>
        <w:spacing w:after="80" w:line="300" w:lineRule="auto"/>
      </w:pPr>
      <w:r>
        <w:rPr>
          <w:rFonts w:ascii="Calibri" w:hAnsi="Calibri"/>
          <w:sz w:val="22"/>
          <w:szCs w:val="22"/>
          <w:color w:val="283548"/>
        </w:rPr>
        <w:t xml:space="preserve">Compare which touch earns a response and what new information it contained.</w:t>
      </w:r>
    </w:p>
    <w:p>
      <w:pPr>
        <w:numPr>
          <w:ilvl w:val="0"/>
          <w:numId w:val="1"/>
        </w:numPr>
        <w:spacing w:after="80" w:line="300" w:lineRule="auto"/>
      </w:pPr>
      <w:r>
        <w:rPr>
          <w:rFonts w:ascii="Calibri" w:hAnsi="Calibri"/>
          <w:sz w:val="22"/>
          <w:szCs w:val="22"/>
          <w:color w:val="283548"/>
        </w:rPr>
        <w:t xml:space="preserve">Review whether every promised email, resource, or callback was delivered accurately.</w:t>
      </w:r>
    </w:p>
    <w:p>
      <w:pPr>
        <w:numPr>
          <w:ilvl w:val="0"/>
          <w:numId w:val="1"/>
        </w:numPr>
        <w:spacing w:after="80" w:line="300" w:lineRule="auto"/>
      </w:pPr>
      <w:r>
        <w:rPr>
          <w:rFonts w:ascii="Calibri" w:hAnsi="Calibri"/>
          <w:sz w:val="22"/>
          <w:szCs w:val="22"/>
          <w:color w:val="283548"/>
        </w:rPr>
        <w:t xml:space="preserve">Optimise message usefulness and spacing before adding another step to the sequence.</w:t>
      </w:r>
    </w:p>
    <w:p>
      <w:pPr>
        <w:pStyle w:val="Heading1"/>
        <w:keepNext/>
      </w:pPr>
      <w:r>
        <w:rPr>
          <w:rFonts w:ascii="Calibri" w:hAnsi="Calibri"/>
        </w:rPr>
        <w:t xml:space="preserve">Worked example (Touch 3)</w:t>
      </w:r>
    </w:p>
    <w:p>
      <w:pPr>
        <w:spacing w:after="120" w:line="300" w:lineRule="auto"/>
      </w:pPr>
      <w:r>
        <w:rPr>
          <w:rFonts w:ascii="Calibri" w:hAnsi="Calibri"/>
          <w:sz w:val="22"/>
          <w:szCs w:val="22"/>
          <w:color w:val="283548"/>
        </w:rPr>
        <w:t xml:space="preserve">"Hi Jordan — I do not want to clutter your inbox, so this is my last note for now. If the driver-scheduling issue is still worth a look, I am happy to set up 20 minutes. If the timing is not right, no problem at all — just let me know and I will close this out. Either answer is helpful."</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Follow up to be useful, not to pressure. Do not send daily messages or imply urgency that is not real. Always give the prospect an easy way to say "not now" and honour it.</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