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80"/>
      </w:pPr>
      <w:r>
        <w:rPr>
          <w:b/>
          <w:sz w:val="40"/>
          <w:szCs w:val="40"/>
        </w:rPr>
        <w:t xml:space="preserve">Tonality Guide</w:t>
      </w:r>
    </w:p>
    <w:p>
      <w:pPr>
        <w:spacing w:after="60"/>
      </w:pPr>
      <w:r>
        <w:rPr>
          <w:sz w:val="18"/>
          <w:szCs w:val="18"/>
          <w:color w:val="666666"/>
        </w:rPr>
        <w:t xml:space="preserve">Cheat Sheet · Skill: communication · Difficulty: beginner · Est. 5 min</w:t>
      </w:r>
    </w:p>
    <w:p>
      <w:pPr>
        <w:spacing w:after="120"/>
      </w:pPr>
      <w:r>
        <w:rPr>
          <w:b/>
          <w:sz w:val="18"/>
          <w:szCs w:val="18"/>
          <w:color w:val="B26A00"/>
        </w:rPr>
        <w:t xml:space="preserve">Draft resource pending human editorial review — not yet professionally verified.</w:t>
      </w:r>
    </w:p>
    <w:p>
      <w:pPr>
        <w:spacing w:after="80"/>
      </w:pPr>
      <w:r>
        <w:rPr>
          <w:sz w:val="22"/>
          <w:szCs w:val="22"/>
        </w:rPr>
        <w:t xml:space="preserve">A short guide to how you sound on a call — pace, warmth, and confidence — with simple adjustments you can practice, because tone often matters more than the exact words.</w:t>
      </w:r>
    </w:p>
    <w:p>
      <w:pPr>
        <w:spacing w:before="200" w:after="60"/>
      </w:pPr>
      <w:r>
        <w:rPr>
          <w:b/>
          <w:sz w:val="26"/>
          <w:szCs w:val="26"/>
        </w:rPr>
        <w:t xml:space="preserve">Learning objectives</w:t>
      </w:r>
    </w:p>
    <w:p>
      <w:pPr>
        <w:spacing w:after="40"/>
      </w:pPr>
      <w:r>
        <w:rPr>
          <w:sz w:val="22"/>
          <w:szCs w:val="22"/>
        </w:rPr>
        <w:t xml:space="preserve">•  Slow your pace at the start of a call</w:t>
      </w:r>
    </w:p>
    <w:p>
      <w:pPr>
        <w:spacing w:after="40"/>
      </w:pPr>
      <w:r>
        <w:rPr>
          <w:sz w:val="22"/>
          <w:szCs w:val="22"/>
        </w:rPr>
        <w:t xml:space="preserve">•  Sound warm and calm rather than rushed</w:t>
      </w:r>
    </w:p>
    <w:p>
      <w:pPr>
        <w:spacing w:after="40"/>
      </w:pPr>
      <w:r>
        <w:rPr>
          <w:sz w:val="22"/>
          <w:szCs w:val="22"/>
        </w:rPr>
        <w:t xml:space="preserve">•  Use a curious tone for questions</w:t>
      </w:r>
    </w:p>
    <w:p>
      <w:pPr>
        <w:spacing w:after="40"/>
      </w:pPr>
      <w:r>
        <w:rPr>
          <w:sz w:val="22"/>
          <w:szCs w:val="22"/>
        </w:rPr>
        <w:t xml:space="preserve">•  Notice and reset your tone when nerves rise</w:t>
      </w:r>
    </w:p>
    <w:p>
      <w:pPr>
        <w:spacing w:before="200" w:after="60"/>
      </w:pPr>
      <w:r>
        <w:rPr>
          <w:b/>
          <w:sz w:val="26"/>
          <w:szCs w:val="26"/>
        </w:rPr>
        <w:t xml:space="preserve">Adjustments</w:t>
      </w:r>
    </w:p>
    <w:tbl>
      <w:tblPr>
        <w:tblW w:w="9000" w:type="dxa"/>
        <w:tblLayout w:type="fixed"/>
      </w:tblPr>
      <w:tr>
        <w:tc>
          <w:tcPr>
            <w:tcW w:w="4500" w:type="dxa"/>
            <w:tcBorders>
              <w:top w:val="single" w:sz="4" w:color="CCCCCC"/>
              <w:bottom w:val="single" w:sz="4" w:color="CCCCCC"/>
              <w:left w:val="single" w:sz="4" w:color="CCCCCC"/>
              <w:right w:val="single" w:sz="4" w:color="CCCCCC"/>
            </w:tcBorders>
          </w:tcPr>
          <w:p>
            <w:r>
              <w:rPr>
                <w:b/>
                <w:sz w:val="18"/>
                <w:szCs w:val="18"/>
              </w:rPr>
              <w:t xml:space="preserve">If you tend to…</w:t>
            </w:r>
          </w:p>
        </w:tc>
        <w:tc>
          <w:tcPr>
            <w:tcW w:w="4500" w:type="dxa"/>
            <w:tcBorders>
              <w:top w:val="single" w:sz="4" w:color="CCCCCC"/>
              <w:bottom w:val="single" w:sz="4" w:color="CCCCCC"/>
              <w:left w:val="single" w:sz="4" w:color="CCCCCC"/>
              <w:right w:val="single" w:sz="4" w:color="CCCCCC"/>
            </w:tcBorders>
          </w:tcPr>
          <w:p>
            <w:r>
              <w:rPr>
                <w:b/>
                <w:sz w:val="18"/>
                <w:szCs w:val="18"/>
              </w:rPr>
              <w:t xml:space="preserve">Try this</w:t>
            </w:r>
          </w:p>
        </w:tc>
      </w:tr>
      <w:tr>
        <w:tc>
          <w:tcPr>
            <w:tcW w:w="4500" w:type="dxa"/>
            <w:tcBorders>
              <w:top w:val="single" w:sz="4" w:color="CCCCCC"/>
              <w:bottom w:val="single" w:sz="4" w:color="CCCCCC"/>
              <w:left w:val="single" w:sz="4" w:color="CCCCCC"/>
              <w:right w:val="single" w:sz="4" w:color="CCCCCC"/>
            </w:tcBorders>
          </w:tcPr>
          <w:p>
            <w:r>
              <w:rPr>
                <w:sz w:val="18"/>
                <w:szCs w:val="18"/>
              </w:rPr>
              <w:t xml:space="preserve">Talk fast when nervous</w:t>
            </w:r>
          </w:p>
        </w:tc>
        <w:tc>
          <w:tcPr>
            <w:tcW w:w="4500" w:type="dxa"/>
            <w:tcBorders>
              <w:top w:val="single" w:sz="4" w:color="CCCCCC"/>
              <w:bottom w:val="single" w:sz="4" w:color="CCCCCC"/>
              <w:left w:val="single" w:sz="4" w:color="CCCCCC"/>
              <w:right w:val="single" w:sz="4" w:color="CCCCCC"/>
            </w:tcBorders>
          </w:tcPr>
          <w:p>
            <w:r>
              <w:rPr>
                <w:sz w:val="18"/>
                <w:szCs w:val="18"/>
              </w:rPr>
              <w:t xml:space="preserve">Pause a full second after your opener.</w:t>
            </w:r>
          </w:p>
        </w:tc>
      </w:tr>
      <w:tr>
        <w:tc>
          <w:tcPr>
            <w:tcW w:w="4500" w:type="dxa"/>
            <w:tcBorders>
              <w:top w:val="single" w:sz="4" w:color="CCCCCC"/>
              <w:bottom w:val="single" w:sz="4" w:color="CCCCCC"/>
              <w:left w:val="single" w:sz="4" w:color="CCCCCC"/>
              <w:right w:val="single" w:sz="4" w:color="CCCCCC"/>
            </w:tcBorders>
          </w:tcPr>
          <w:p>
            <w:r>
              <w:rPr>
                <w:sz w:val="18"/>
                <w:szCs w:val="18"/>
              </w:rPr>
              <w:t xml:space="preserve">Sound flat or scripted</w:t>
            </w:r>
          </w:p>
        </w:tc>
        <w:tc>
          <w:tcPr>
            <w:tcW w:w="4500" w:type="dxa"/>
            <w:tcBorders>
              <w:top w:val="single" w:sz="4" w:color="CCCCCC"/>
              <w:bottom w:val="single" w:sz="4" w:color="CCCCCC"/>
              <w:left w:val="single" w:sz="4" w:color="CCCCCC"/>
              <w:right w:val="single" w:sz="4" w:color="CCCCCC"/>
            </w:tcBorders>
          </w:tcPr>
          <w:p>
            <w:r>
              <w:rPr>
                <w:sz w:val="18"/>
                <w:szCs w:val="18"/>
              </w:rPr>
              <w:t xml:space="preserve">Smile before you speak; it changes your voice.</w:t>
            </w:r>
          </w:p>
        </w:tc>
      </w:tr>
      <w:tr>
        <w:tc>
          <w:tcPr>
            <w:tcW w:w="4500" w:type="dxa"/>
            <w:tcBorders>
              <w:top w:val="single" w:sz="4" w:color="CCCCCC"/>
              <w:bottom w:val="single" w:sz="4" w:color="CCCCCC"/>
              <w:left w:val="single" w:sz="4" w:color="CCCCCC"/>
              <w:right w:val="single" w:sz="4" w:color="CCCCCC"/>
            </w:tcBorders>
          </w:tcPr>
          <w:p>
            <w:r>
              <w:rPr>
                <w:sz w:val="18"/>
                <w:szCs w:val="18"/>
              </w:rPr>
              <w:t xml:space="preserve">Rise in pitch on questions</w:t>
            </w:r>
          </w:p>
        </w:tc>
        <w:tc>
          <w:tcPr>
            <w:tcW w:w="4500" w:type="dxa"/>
            <w:tcBorders>
              <w:top w:val="single" w:sz="4" w:color="CCCCCC"/>
              <w:bottom w:val="single" w:sz="4" w:color="CCCCCC"/>
              <w:left w:val="single" w:sz="4" w:color="CCCCCC"/>
              <w:right w:val="single" w:sz="4" w:color="CCCCCC"/>
            </w:tcBorders>
          </w:tcPr>
          <w:p>
            <w:r>
              <w:rPr>
                <w:sz w:val="18"/>
                <w:szCs w:val="18"/>
              </w:rPr>
              <w:t xml:space="preserve">Let questions land softly and then stay quiet.</w:t>
            </w:r>
          </w:p>
        </w:tc>
      </w:tr>
      <w:tr>
        <w:tc>
          <w:tcPr>
            <w:tcW w:w="4500" w:type="dxa"/>
            <w:tcBorders>
              <w:top w:val="single" w:sz="4" w:color="CCCCCC"/>
              <w:bottom w:val="single" w:sz="4" w:color="CCCCCC"/>
              <w:left w:val="single" w:sz="4" w:color="CCCCCC"/>
              <w:right w:val="single" w:sz="4" w:color="CCCCCC"/>
            </w:tcBorders>
          </w:tcPr>
          <w:p>
            <w:r>
              <w:rPr>
                <w:sz w:val="18"/>
                <w:szCs w:val="18"/>
              </w:rPr>
              <w:t xml:space="preserve">Fill silence quickly</w:t>
            </w:r>
          </w:p>
        </w:tc>
        <w:tc>
          <w:tcPr>
            <w:tcW w:w="4500" w:type="dxa"/>
            <w:tcBorders>
              <w:top w:val="single" w:sz="4" w:color="CCCCCC"/>
              <w:bottom w:val="single" w:sz="4" w:color="CCCCCC"/>
              <w:left w:val="single" w:sz="4" w:color="CCCCCC"/>
              <w:right w:val="single" w:sz="4" w:color="CCCCCC"/>
            </w:tcBorders>
          </w:tcPr>
          <w:p>
            <w:r>
              <w:rPr>
                <w:sz w:val="18"/>
                <w:szCs w:val="18"/>
              </w:rPr>
              <w:t xml:space="preserve">Count to two after asking; let them answer.</w:t>
            </w:r>
          </w:p>
        </w:tc>
      </w:tr>
    </w:tbl>
    <w:p>
      <w:pPr>
        <w:spacing w:before="200" w:after="60"/>
      </w:pPr>
      <w:r>
        <w:rPr>
          <w:b/>
          <w:sz w:val="26"/>
          <w:szCs w:val="26"/>
        </w:rPr>
        <w:t xml:space="preserve">Practice ideas</w:t>
      </w:r>
    </w:p>
    <w:p>
      <w:pPr>
        <w:spacing w:after="40"/>
      </w:pPr>
      <w:r>
        <w:rPr>
          <w:sz w:val="22"/>
          <w:szCs w:val="22"/>
        </w:rPr>
        <w:t xml:space="preserve">•  Record yourself reading your opener and listen back once.</w:t>
      </w:r>
    </w:p>
    <w:p>
      <w:pPr>
        <w:spacing w:after="40"/>
      </w:pPr>
      <w:r>
        <w:rPr>
          <w:sz w:val="22"/>
          <w:szCs w:val="22"/>
        </w:rPr>
        <w:t xml:space="preserve">•  Practice one call standing up to steady your breathing.</w:t>
      </w:r>
    </w:p>
    <w:p>
      <w:pPr>
        <w:spacing w:after="40"/>
      </w:pPr>
      <w:r>
        <w:rPr>
          <w:sz w:val="22"/>
          <w:szCs w:val="22"/>
        </w:rPr>
        <w:t xml:space="preserve">•  Pick one tonality goal per call block, not five.</w:t>
      </w:r>
    </w:p>
    <w:p>
      <w:pPr>
        <w:spacing w:before="200" w:after="60"/>
      </w:pPr>
      <w:r>
        <w:rPr>
          <w:b/>
          <w:sz w:val="26"/>
          <w:szCs w:val="26"/>
        </w:rPr>
        <w:t xml:space="preserve">Worked example</w:t>
      </w:r>
    </w:p>
    <w:p>
      <w:pPr>
        <w:spacing w:after="80"/>
      </w:pPr>
      <w:r>
        <w:rPr>
          <w:sz w:val="22"/>
          <w:szCs w:val="22"/>
        </w:rPr>
        <w:t xml:space="preserve">Goal for today: "Pause after my opening question." On call three you catch yourself rushing, take a breath, and slow the next sentence. That single reset is the whole exercise — one adjustment, practised repeatedly.</w:t>
      </w:r>
    </w:p>
    <w:p>
      <w:pPr>
        <w:spacing w:before="200" w:after="60"/>
      </w:pPr>
      <w:r>
        <w:rPr>
          <w:b/>
          <w:sz w:val="26"/>
          <w:szCs w:val="26"/>
        </w:rPr>
        <w:t xml:space="preserve">Safe-practice note</w:t>
      </w:r>
    </w:p>
    <w:p>
      <w:pPr>
        <w:spacing w:after="80"/>
      </w:pPr>
      <w:r>
        <w:rPr>
          <w:sz w:val="22"/>
          <w:szCs w:val="22"/>
        </w:rPr>
        <w:t xml:space="preserve">Tonality is about being clear and human, not about manipulating emotions. Do not use fake urgency or pressure in your voice. Practice tone with recordings or the AI Coach, not by experimenting on unsuspecting prospects.</w:t>
      </w:r>
    </w:p>
    <w:p>
      <w:pPr>
        <w:spacing w:before="200"/>
      </w:pPr>
      <w:r>
        <w:rPr>
          <w:sz w:val="16"/>
          <w:szCs w:val="16"/>
          <w:color w:val="999999"/>
        </w:rPr>
        <w:t xml:space="preserve">Last reviewed: 2026-07-19 · AmplifyHub Practical Resource Library</w:t>
      </w:r>
    </w:p>
    <w:sectPr>
      <w:pgSz w:w="11906" w:h="16838"/>
      <w:pgMar w:top="1440" w:right="1440" w:bottom="1440" w:left="1440" w:header="720" w:footer="720" w:gutter="0"/>
    </w:sectPr>
  </w:body>
</w:document>
</file>