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b/>
          <w:sz w:val="40"/>
          <w:szCs w:val="40"/>
        </w:rPr>
        <w:t xml:space="preserve">Three-Touch Follow-Up Sequence</w:t>
      </w:r>
    </w:p>
    <w:p>
      <w:pPr>
        <w:spacing w:after="60"/>
      </w:pPr>
      <w:r>
        <w:rPr>
          <w:sz w:val="18"/>
          <w:szCs w:val="18"/>
          <w:color w:val="666666"/>
        </w:rPr>
        <w:t xml:space="preserve">Template · Skill: follow-up · Difficulty: beginner · Est. 9 min</w:t>
      </w:r>
    </w:p>
    <w:p>
      <w:pPr>
        <w:spacing w:after="120"/>
      </w:pPr>
      <w:r>
        <w:rPr>
          <w:b/>
          <w:sz w:val="18"/>
          <w:szCs w:val="18"/>
          <w:color w:val="B26A00"/>
        </w:rPr>
        <w:t xml:space="preserve">Draft resource pending human editorial review — not yet professionally verified.</w:t>
      </w:r>
    </w:p>
    <w:p>
      <w:pPr>
        <w:spacing w:after="80"/>
      </w:pPr>
      <w:r>
        <w:rPr>
          <w:sz w:val="22"/>
          <w:szCs w:val="22"/>
        </w:rPr>
        <w:t xml:space="preserve">A short, respectful three-message follow-up where each touch adds a different useful angle — a recap, a relevant insight, and a permission-to-close — instead of repeating "just checking in".</w:t>
      </w:r>
    </w:p>
    <w:p>
      <w:pPr>
        <w:spacing w:before="200" w:after="60"/>
      </w:pPr>
      <w:r>
        <w:rPr>
          <w:b/>
          <w:sz w:val="26"/>
          <w:szCs w:val="26"/>
        </w:rPr>
        <w:t xml:space="preserve">Learning objectives</w:t>
      </w:r>
    </w:p>
    <w:p>
      <w:pPr>
        <w:spacing w:after="40"/>
      </w:pPr>
      <w:r>
        <w:rPr>
          <w:sz w:val="22"/>
          <w:szCs w:val="22"/>
        </w:rPr>
        <w:t xml:space="preserve">•  Write three follow-ups that each add new value</w:t>
      </w:r>
    </w:p>
    <w:p>
      <w:pPr>
        <w:spacing w:after="40"/>
      </w:pPr>
      <w:r>
        <w:rPr>
          <w:sz w:val="22"/>
          <w:szCs w:val="22"/>
        </w:rPr>
        <w:t xml:space="preserve">•  Space the messages out with clear timing</w:t>
      </w:r>
    </w:p>
    <w:p>
      <w:pPr>
        <w:spacing w:after="40"/>
      </w:pPr>
      <w:r>
        <w:rPr>
          <w:sz w:val="22"/>
          <w:szCs w:val="22"/>
        </w:rPr>
        <w:t xml:space="preserve">•  Reference something specific from the call</w:t>
      </w:r>
    </w:p>
    <w:p>
      <w:pPr>
        <w:spacing w:after="40"/>
      </w:pPr>
      <w:r>
        <w:rPr>
          <w:sz w:val="22"/>
          <w:szCs w:val="22"/>
        </w:rPr>
        <w:t xml:space="preserve">•  End the sequence with a respectful close</w:t>
      </w:r>
    </w:p>
    <w:p>
      <w:pPr>
        <w:spacing w:before="200" w:after="60"/>
      </w:pPr>
      <w:r>
        <w:rPr>
          <w:b/>
          <w:sz w:val="26"/>
          <w:szCs w:val="26"/>
        </w:rPr>
        <w:t xml:space="preserve">The sequence</w:t>
      </w:r>
    </w:p>
    <w:tbl>
      <w:tblPr>
        <w:tblW w:w="9000" w:type="dxa"/>
        <w:tblLayout w:type="fixed"/>
      </w:tblPr>
      <w:tr>
        <w:tc>
          <w:tcPr>
            <w:tcW w:w="3000" w:type="dxa"/>
            <w:tcBorders>
              <w:top w:val="single" w:sz="4" w:color="CCCCCC"/>
              <w:bottom w:val="single" w:sz="4" w:color="CCCCCC"/>
              <w:left w:val="single" w:sz="4" w:color="CCCCCC"/>
              <w:right w:val="single" w:sz="4" w:color="CCCCCC"/>
            </w:tcBorders>
          </w:tcPr>
          <w:p>
            <w:r>
              <w:rPr>
                <w:b/>
                <w:sz w:val="18"/>
                <w:szCs w:val="18"/>
              </w:rPr>
              <w:t xml:space="preserve">Touch</w:t>
            </w:r>
          </w:p>
        </w:tc>
        <w:tc>
          <w:tcPr>
            <w:tcW w:w="3000" w:type="dxa"/>
            <w:tcBorders>
              <w:top w:val="single" w:sz="4" w:color="CCCCCC"/>
              <w:bottom w:val="single" w:sz="4" w:color="CCCCCC"/>
              <w:left w:val="single" w:sz="4" w:color="CCCCCC"/>
              <w:right w:val="single" w:sz="4" w:color="CCCCCC"/>
            </w:tcBorders>
          </w:tcPr>
          <w:p>
            <w:r>
              <w:rPr>
                <w:b/>
                <w:sz w:val="18"/>
                <w:szCs w:val="18"/>
              </w:rPr>
              <w:t xml:space="preserve">Timing</w:t>
            </w:r>
          </w:p>
        </w:tc>
        <w:tc>
          <w:tcPr>
            <w:tcW w:w="3000" w:type="dxa"/>
            <w:tcBorders>
              <w:top w:val="single" w:sz="4" w:color="CCCCCC"/>
              <w:bottom w:val="single" w:sz="4" w:color="CCCCCC"/>
              <w:left w:val="single" w:sz="4" w:color="CCCCCC"/>
              <w:right w:val="single" w:sz="4" w:color="CCCCCC"/>
            </w:tcBorders>
          </w:tcPr>
          <w:p>
            <w:r>
              <w:rPr>
                <w:b/>
                <w:sz w:val="18"/>
                <w:szCs w:val="18"/>
              </w:rPr>
              <w:t xml:space="preserve">Angle</w:t>
            </w:r>
          </w:p>
        </w:tc>
      </w:tr>
      <w:tr>
        <w:tc>
          <w:tcPr>
            <w:tcW w:w="3000" w:type="dxa"/>
            <w:tcBorders>
              <w:top w:val="single" w:sz="4" w:color="CCCCCC"/>
              <w:bottom w:val="single" w:sz="4" w:color="CCCCCC"/>
              <w:left w:val="single" w:sz="4" w:color="CCCCCC"/>
              <w:right w:val="single" w:sz="4" w:color="CCCCCC"/>
            </w:tcBorders>
          </w:tcPr>
          <w:p>
            <w:r>
              <w:rPr>
                <w:sz w:val="18"/>
                <w:szCs w:val="18"/>
              </w:rPr>
              <w:t xml:space="preserve">1 — Recap</w:t>
            </w:r>
          </w:p>
        </w:tc>
        <w:tc>
          <w:tcPr>
            <w:tcW w:w="3000" w:type="dxa"/>
            <w:tcBorders>
              <w:top w:val="single" w:sz="4" w:color="CCCCCC"/>
              <w:bottom w:val="single" w:sz="4" w:color="CCCCCC"/>
              <w:left w:val="single" w:sz="4" w:color="CCCCCC"/>
              <w:right w:val="single" w:sz="4" w:color="CCCCCC"/>
            </w:tcBorders>
          </w:tcPr>
          <w:p>
            <w:r>
              <w:rPr>
                <w:sz w:val="18"/>
                <w:szCs w:val="18"/>
              </w:rPr>
              <w:t xml:space="preserve">Same day</w:t>
            </w:r>
          </w:p>
        </w:tc>
        <w:tc>
          <w:tcPr>
            <w:tcW w:w="3000" w:type="dxa"/>
            <w:tcBorders>
              <w:top w:val="single" w:sz="4" w:color="CCCCCC"/>
              <w:bottom w:val="single" w:sz="4" w:color="CCCCCC"/>
              <w:left w:val="single" w:sz="4" w:color="CCCCCC"/>
              <w:right w:val="single" w:sz="4" w:color="CCCCCC"/>
            </w:tcBorders>
          </w:tcPr>
          <w:p>
            <w:r>
              <w:rPr>
                <w:sz w:val="18"/>
                <w:szCs w:val="18"/>
              </w:rPr>
              <w:t xml:space="preserve">Thank them, recap what you discussed, restate the next step.</w:t>
            </w:r>
          </w:p>
        </w:tc>
      </w:tr>
      <w:tr>
        <w:tc>
          <w:tcPr>
            <w:tcW w:w="3000" w:type="dxa"/>
            <w:tcBorders>
              <w:top w:val="single" w:sz="4" w:color="CCCCCC"/>
              <w:bottom w:val="single" w:sz="4" w:color="CCCCCC"/>
              <w:left w:val="single" w:sz="4" w:color="CCCCCC"/>
              <w:right w:val="single" w:sz="4" w:color="CCCCCC"/>
            </w:tcBorders>
          </w:tcPr>
          <w:p>
            <w:r>
              <w:rPr>
                <w:sz w:val="18"/>
                <w:szCs w:val="18"/>
              </w:rPr>
              <w:t xml:space="preserve">2 — Insight</w:t>
            </w:r>
          </w:p>
        </w:tc>
        <w:tc>
          <w:tcPr>
            <w:tcW w:w="3000" w:type="dxa"/>
            <w:tcBorders>
              <w:top w:val="single" w:sz="4" w:color="CCCCCC"/>
              <w:bottom w:val="single" w:sz="4" w:color="CCCCCC"/>
              <w:left w:val="single" w:sz="4" w:color="CCCCCC"/>
              <w:right w:val="single" w:sz="4" w:color="CCCCCC"/>
            </w:tcBorders>
          </w:tcPr>
          <w:p>
            <w:r>
              <w:rPr>
                <w:sz w:val="18"/>
                <w:szCs w:val="18"/>
              </w:rPr>
              <w:t xml:space="preserve">2–3 days later</w:t>
            </w:r>
          </w:p>
        </w:tc>
        <w:tc>
          <w:tcPr>
            <w:tcW w:w="3000" w:type="dxa"/>
            <w:tcBorders>
              <w:top w:val="single" w:sz="4" w:color="CCCCCC"/>
              <w:bottom w:val="single" w:sz="4" w:color="CCCCCC"/>
              <w:left w:val="single" w:sz="4" w:color="CCCCCC"/>
              <w:right w:val="single" w:sz="4" w:color="CCCCCC"/>
            </w:tcBorders>
          </w:tcPr>
          <w:p>
            <w:r>
              <w:rPr>
                <w:sz w:val="18"/>
                <w:szCs w:val="18"/>
              </w:rPr>
              <w:t xml:space="preserve">Share one relevant, genuinely useful idea or resource.</w:t>
            </w:r>
          </w:p>
        </w:tc>
      </w:tr>
      <w:tr>
        <w:tc>
          <w:tcPr>
            <w:tcW w:w="3000" w:type="dxa"/>
            <w:tcBorders>
              <w:top w:val="single" w:sz="4" w:color="CCCCCC"/>
              <w:bottom w:val="single" w:sz="4" w:color="CCCCCC"/>
              <w:left w:val="single" w:sz="4" w:color="CCCCCC"/>
              <w:right w:val="single" w:sz="4" w:color="CCCCCC"/>
            </w:tcBorders>
          </w:tcPr>
          <w:p>
            <w:r>
              <w:rPr>
                <w:sz w:val="18"/>
                <w:szCs w:val="18"/>
              </w:rPr>
              <w:t xml:space="preserve">3 — Permission to close</w:t>
            </w:r>
          </w:p>
        </w:tc>
        <w:tc>
          <w:tcPr>
            <w:tcW w:w="3000" w:type="dxa"/>
            <w:tcBorders>
              <w:top w:val="single" w:sz="4" w:color="CCCCCC"/>
              <w:bottom w:val="single" w:sz="4" w:color="CCCCCC"/>
              <w:left w:val="single" w:sz="4" w:color="CCCCCC"/>
              <w:right w:val="single" w:sz="4" w:color="CCCCCC"/>
            </w:tcBorders>
          </w:tcPr>
          <w:p>
            <w:r>
              <w:rPr>
                <w:sz w:val="18"/>
                <w:szCs w:val="18"/>
              </w:rPr>
              <w:t xml:space="preserve">4–5 days later</w:t>
            </w:r>
          </w:p>
        </w:tc>
        <w:tc>
          <w:tcPr>
            <w:tcW w:w="3000" w:type="dxa"/>
            <w:tcBorders>
              <w:top w:val="single" w:sz="4" w:color="CCCCCC"/>
              <w:bottom w:val="single" w:sz="4" w:color="CCCCCC"/>
              <w:left w:val="single" w:sz="4" w:color="CCCCCC"/>
              <w:right w:val="single" w:sz="4" w:color="CCCCCC"/>
            </w:tcBorders>
          </w:tcPr>
          <w:p>
            <w:r>
              <w:rPr>
                <w:sz w:val="18"/>
                <w:szCs w:val="18"/>
              </w:rPr>
              <w:t xml:space="preserve">Ask if you should keep this open or close it out for now.</w:t>
            </w:r>
          </w:p>
        </w:tc>
      </w:tr>
    </w:tbl>
    <w:p>
      <w:pPr>
        <w:spacing w:before="200" w:after="60"/>
      </w:pPr>
      <w:r>
        <w:rPr>
          <w:b/>
          <w:sz w:val="26"/>
          <w:szCs w:val="26"/>
        </w:rPr>
        <w:t xml:space="preserve">Fill in before sending</w:t>
      </w:r>
    </w:p>
    <w:p>
      <w:pPr>
        <w:spacing w:after="40"/>
      </w:pPr>
      <w:r>
        <w:rPr>
          <w:sz w:val="22"/>
          <w:szCs w:val="22"/>
        </w:rPr>
        <w:t xml:space="preserve">•  Prospect name and role: ______________________________</w:t>
      </w:r>
    </w:p>
    <w:p>
      <w:pPr>
        <w:spacing w:after="40"/>
      </w:pPr>
      <w:r>
        <w:rPr>
          <w:sz w:val="22"/>
          <w:szCs w:val="22"/>
        </w:rPr>
        <w:t xml:space="preserve">•  The specific problem or comment from the call: ______________________________</w:t>
      </w:r>
    </w:p>
    <w:p>
      <w:pPr>
        <w:spacing w:after="40"/>
      </w:pPr>
      <w:r>
        <w:rPr>
          <w:sz w:val="22"/>
          <w:szCs w:val="22"/>
        </w:rPr>
        <w:t xml:space="preserve">•  The one insight or resource for touch 2: ______________________________</w:t>
      </w:r>
    </w:p>
    <w:p>
      <w:pPr>
        <w:spacing w:after="40"/>
      </w:pPr>
      <w:r>
        <w:rPr>
          <w:sz w:val="22"/>
          <w:szCs w:val="22"/>
        </w:rPr>
        <w:t xml:space="preserve">•  The clear next step you are proposing: ______________________________</w:t>
      </w:r>
    </w:p>
    <w:p>
      <w:pPr>
        <w:spacing w:before="200" w:after="60"/>
      </w:pPr>
      <w:r>
        <w:rPr>
          <w:b/>
          <w:sz w:val="26"/>
          <w:szCs w:val="26"/>
        </w:rPr>
        <w:t xml:space="preserve">Worked example (Touch 3)</w:t>
      </w:r>
    </w:p>
    <w:p>
      <w:pPr>
        <w:spacing w:after="80"/>
      </w:pPr>
      <w:r>
        <w:rPr>
          <w:sz w:val="22"/>
          <w:szCs w:val="22"/>
        </w:rPr>
        <w:t xml:space="preserve">"Hi Jordan — I do not want to clutter your inbox, so this is my last note for now. If the driver-scheduling issue is still worth a look, I am happy to set up 20 minutes. If the timing is not right, no problem at all — just let me know and I will close this out. Either answer is helpful."</w:t>
      </w:r>
    </w:p>
    <w:p>
      <w:pPr>
        <w:spacing w:before="200" w:after="60"/>
      </w:pPr>
      <w:r>
        <w:rPr>
          <w:b/>
          <w:sz w:val="26"/>
          <w:szCs w:val="26"/>
        </w:rPr>
        <w:t xml:space="preserve">Safe-practice note</w:t>
      </w:r>
    </w:p>
    <w:p>
      <w:pPr>
        <w:spacing w:after="80"/>
      </w:pPr>
      <w:r>
        <w:rPr>
          <w:sz w:val="22"/>
          <w:szCs w:val="22"/>
        </w:rPr>
        <w:t xml:space="preserve">Follow up to be useful, not to pressure. Do not send daily messages or imply urgency that is not real. Always give the prospect an easy way to say "not now" and honour it.</w:t>
      </w:r>
    </w:p>
    <w:p>
      <w:pPr>
        <w:spacing w:before="200"/>
      </w:pPr>
      <w:r>
        <w:rPr>
          <w:sz w:val="16"/>
          <w:szCs w:val="16"/>
          <w:color w:val="999999"/>
        </w:rPr>
        <w:t xml:space="preserve">Last reviewed: 2026-07-19 · AmplifyHub Practical Resource Library</w:t>
      </w:r>
    </w:p>
    <w:sectPr>
      <w:pgSz w:w="11906" w:h="16838"/>
      <w:pgMar w:top="1440" w:right="1440" w:bottom="1440" w:left="1440" w:header="720" w:footer="720" w:gutter="0"/>
    </w:sectPr>
  </w:body>
</w:document>
</file>