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Tonality Guide</w:t>
      </w:r>
    </w:p>
    <w:p>
      <w:pPr>
        <w:spacing w:after="100"/>
      </w:pPr>
      <w:r>
        <w:rPr>
          <w:rFonts w:ascii="Calibri" w:hAnsi="Calibri"/>
          <w:b/>
          <w:sz w:val="18"/>
          <w:szCs w:val="18"/>
          <w:color w:val="6B7280"/>
        </w:rPr>
        <w:t xml:space="preserve">CHEAT SHEET | SKILL: COMMUNICATION | DIFFICULTY: BEGINNER | EST. 5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short guide to how you sound on a call — pace, warmth, and confidence — with simple adjustments you can practice, because tone often matters more than the exact words.</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Slow your pace at the start of a call</w:t>
      </w:r>
    </w:p>
    <w:p>
      <w:pPr>
        <w:numPr>
          <w:ilvl w:val="0"/>
          <w:numId w:val="1"/>
        </w:numPr>
        <w:spacing w:after="80" w:line="300" w:lineRule="auto"/>
      </w:pPr>
      <w:r>
        <w:rPr>
          <w:rFonts w:ascii="Calibri" w:hAnsi="Calibri"/>
          <w:sz w:val="22"/>
          <w:szCs w:val="22"/>
          <w:color w:val="283548"/>
        </w:rPr>
        <w:t xml:space="preserve">Sound warm and calm rather than rushed</w:t>
      </w:r>
    </w:p>
    <w:p>
      <w:pPr>
        <w:numPr>
          <w:ilvl w:val="0"/>
          <w:numId w:val="1"/>
        </w:numPr>
        <w:spacing w:after="80" w:line="300" w:lineRule="auto"/>
      </w:pPr>
      <w:r>
        <w:rPr>
          <w:rFonts w:ascii="Calibri" w:hAnsi="Calibri"/>
          <w:sz w:val="22"/>
          <w:szCs w:val="22"/>
          <w:color w:val="283548"/>
        </w:rPr>
        <w:t xml:space="preserve">Use a curious tone for questions</w:t>
      </w:r>
    </w:p>
    <w:p>
      <w:pPr>
        <w:numPr>
          <w:ilvl w:val="0"/>
          <w:numId w:val="1"/>
        </w:numPr>
        <w:spacing w:after="80" w:line="300" w:lineRule="auto"/>
      </w:pPr>
      <w:r>
        <w:rPr>
          <w:rFonts w:ascii="Calibri" w:hAnsi="Calibri"/>
          <w:sz w:val="22"/>
          <w:szCs w:val="22"/>
          <w:color w:val="283548"/>
        </w:rPr>
        <w:t xml:space="preserve">Notice and reset your tone when nerves rise</w:t>
      </w:r>
    </w:p>
    <w:p>
      <w:pPr>
        <w:pStyle w:val="Heading1"/>
        <w:keepNext/>
      </w:pPr>
      <w:r>
        <w:rPr>
          <w:rFonts w:ascii="Calibri" w:hAnsi="Calibri"/>
        </w:rPr>
        <w:t xml:space="preserve">Adjustments</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3476"/>
        <w:gridCol w:w="5884"/>
      </w:tblGrid>
      <w:tr>
        <w:trPr>
          <w:tblHeader/>
        </w:trPr>
        <w:tc>
          <w:tcPr>
            <w:tcW w:w="3476" w:type="dxa"/>
            <w:vAlign w:val="center"/>
            <w:shd w:val="clear" w:color="auto" w:fill="FFF3C4"/>
          </w:tcPr>
          <w:p>
            <w:pPr>
              <w:spacing w:after="40" w:line="280" w:lineRule="auto"/>
            </w:pPr>
            <w:r>
              <w:rPr>
                <w:rFonts w:ascii="Calibri" w:hAnsi="Calibri"/>
                <w:b/>
                <w:sz w:val="19"/>
                <w:szCs w:val="19"/>
                <w:color w:val="6B4F00"/>
              </w:rPr>
              <w:t xml:space="preserve">If you tend to…</w:t>
            </w:r>
          </w:p>
        </w:tc>
        <w:tc>
          <w:tcPr>
            <w:tcW w:w="5884" w:type="dxa"/>
            <w:vAlign w:val="center"/>
            <w:shd w:val="clear" w:color="auto" w:fill="FFF3C4"/>
          </w:tcPr>
          <w:p>
            <w:pPr>
              <w:spacing w:after="40" w:line="280" w:lineRule="auto"/>
            </w:pPr>
            <w:r>
              <w:rPr>
                <w:rFonts w:ascii="Calibri" w:hAnsi="Calibri"/>
                <w:b/>
                <w:sz w:val="19"/>
                <w:szCs w:val="19"/>
                <w:color w:val="6B4F00"/>
              </w:rPr>
              <w:t xml:space="preserve">Try this</w:t>
            </w:r>
          </w:p>
        </w:tc>
      </w:tr>
      <w:tr>
        <w:tc>
          <w:tcPr>
            <w:tcW w:w="3476" w:type="dxa"/>
            <w:vAlign w:val="center"/>
          </w:tcPr>
          <w:p>
            <w:pPr>
              <w:spacing w:after="40" w:line="280" w:lineRule="auto"/>
            </w:pPr>
            <w:r>
              <w:rPr>
                <w:rFonts w:ascii="Calibri" w:hAnsi="Calibri"/>
                <w:sz w:val="19"/>
                <w:szCs w:val="19"/>
                <w:color w:val="283548"/>
              </w:rPr>
              <w:t xml:space="preserve">Talk fast when nervous</w:t>
            </w:r>
          </w:p>
        </w:tc>
        <w:tc>
          <w:tcPr>
            <w:tcW w:w="5884" w:type="dxa"/>
            <w:vAlign w:val="center"/>
          </w:tcPr>
          <w:p>
            <w:pPr>
              <w:spacing w:after="40" w:line="280" w:lineRule="auto"/>
            </w:pPr>
            <w:r>
              <w:rPr>
                <w:rFonts w:ascii="Calibri" w:hAnsi="Calibri"/>
                <w:sz w:val="19"/>
                <w:szCs w:val="19"/>
                <w:color w:val="283548"/>
              </w:rPr>
              <w:t xml:space="preserve">Pause a full second after your opener.</w:t>
            </w:r>
          </w:p>
        </w:tc>
      </w:tr>
      <w:tr>
        <w:tc>
          <w:tcPr>
            <w:tcW w:w="3476" w:type="dxa"/>
            <w:vAlign w:val="center"/>
          </w:tcPr>
          <w:p>
            <w:pPr>
              <w:spacing w:after="40" w:line="280" w:lineRule="auto"/>
            </w:pPr>
            <w:r>
              <w:rPr>
                <w:rFonts w:ascii="Calibri" w:hAnsi="Calibri"/>
                <w:sz w:val="19"/>
                <w:szCs w:val="19"/>
                <w:color w:val="283548"/>
              </w:rPr>
              <w:t xml:space="preserve">Sound flat or scripted</w:t>
            </w:r>
          </w:p>
        </w:tc>
        <w:tc>
          <w:tcPr>
            <w:tcW w:w="5884" w:type="dxa"/>
            <w:vAlign w:val="center"/>
          </w:tcPr>
          <w:p>
            <w:pPr>
              <w:spacing w:after="40" w:line="280" w:lineRule="auto"/>
            </w:pPr>
            <w:r>
              <w:rPr>
                <w:rFonts w:ascii="Calibri" w:hAnsi="Calibri"/>
                <w:sz w:val="19"/>
                <w:szCs w:val="19"/>
                <w:color w:val="283548"/>
              </w:rPr>
              <w:t xml:space="preserve">Smile before you speak; it changes your voice.</w:t>
            </w:r>
          </w:p>
        </w:tc>
      </w:tr>
      <w:tr>
        <w:tc>
          <w:tcPr>
            <w:tcW w:w="3476" w:type="dxa"/>
            <w:vAlign w:val="center"/>
          </w:tcPr>
          <w:p>
            <w:pPr>
              <w:spacing w:after="40" w:line="280" w:lineRule="auto"/>
            </w:pPr>
            <w:r>
              <w:rPr>
                <w:rFonts w:ascii="Calibri" w:hAnsi="Calibri"/>
                <w:sz w:val="19"/>
                <w:szCs w:val="19"/>
                <w:color w:val="283548"/>
              </w:rPr>
              <w:t xml:space="preserve">Rise in pitch on questions</w:t>
            </w:r>
          </w:p>
        </w:tc>
        <w:tc>
          <w:tcPr>
            <w:tcW w:w="5884" w:type="dxa"/>
            <w:vAlign w:val="center"/>
          </w:tcPr>
          <w:p>
            <w:pPr>
              <w:spacing w:after="40" w:line="280" w:lineRule="auto"/>
            </w:pPr>
            <w:r>
              <w:rPr>
                <w:rFonts w:ascii="Calibri" w:hAnsi="Calibri"/>
                <w:sz w:val="19"/>
                <w:szCs w:val="19"/>
                <w:color w:val="283548"/>
              </w:rPr>
              <w:t xml:space="preserve">Let questions land softly and then stay quiet.</w:t>
            </w:r>
          </w:p>
        </w:tc>
      </w:tr>
      <w:tr>
        <w:tc>
          <w:tcPr>
            <w:tcW w:w="3476" w:type="dxa"/>
            <w:vAlign w:val="center"/>
          </w:tcPr>
          <w:p>
            <w:pPr>
              <w:spacing w:after="40" w:line="280" w:lineRule="auto"/>
            </w:pPr>
            <w:r>
              <w:rPr>
                <w:rFonts w:ascii="Calibri" w:hAnsi="Calibri"/>
                <w:sz w:val="19"/>
                <w:szCs w:val="19"/>
                <w:color w:val="283548"/>
              </w:rPr>
              <w:t xml:space="preserve">Fill silence quickly</w:t>
            </w:r>
          </w:p>
        </w:tc>
        <w:tc>
          <w:tcPr>
            <w:tcW w:w="5884" w:type="dxa"/>
            <w:vAlign w:val="center"/>
          </w:tcPr>
          <w:p>
            <w:pPr>
              <w:spacing w:after="40" w:line="280" w:lineRule="auto"/>
            </w:pPr>
            <w:r>
              <w:rPr>
                <w:rFonts w:ascii="Calibri" w:hAnsi="Calibri"/>
                <w:sz w:val="19"/>
                <w:szCs w:val="19"/>
                <w:color w:val="283548"/>
              </w:rPr>
              <w:t xml:space="preserve">Count to two after asking; let them answer.</w:t>
            </w:r>
          </w:p>
        </w:tc>
      </w:tr>
    </w:tbl>
    <w:p>
      <w:pPr>
        <w:spacing w:after="80"/>
      </w:pPr>
      <w:r>
        <w:rPr>
          <w:rFonts w:ascii="Calibri" w:hAnsi="Calibri"/>
        </w:rPr>
        <w:t xml:space="preserve"/>
      </w:r>
    </w:p>
    <w:p>
      <w:pPr>
        <w:pStyle w:val="Heading1"/>
        <w:keepNext/>
      </w:pPr>
      <w:r>
        <w:rPr>
          <w:rFonts w:ascii="Calibri" w:hAnsi="Calibri"/>
        </w:rPr>
        <w:t xml:space="preserve">Practice ideas</w:t>
      </w:r>
    </w:p>
    <w:p>
      <w:pPr>
        <w:numPr>
          <w:ilvl w:val="0"/>
          <w:numId w:val="1"/>
        </w:numPr>
        <w:spacing w:after="80" w:line="300" w:lineRule="auto"/>
      </w:pPr>
      <w:r>
        <w:rPr>
          <w:rFonts w:ascii="Calibri" w:hAnsi="Calibri"/>
          <w:sz w:val="22"/>
          <w:szCs w:val="22"/>
          <w:color w:val="283548"/>
        </w:rPr>
        <w:t xml:space="preserve">Record yourself reading your opener and listen back once.</w:t>
      </w:r>
    </w:p>
    <w:p>
      <w:pPr>
        <w:numPr>
          <w:ilvl w:val="0"/>
          <w:numId w:val="1"/>
        </w:numPr>
        <w:spacing w:after="80" w:line="300" w:lineRule="auto"/>
      </w:pPr>
      <w:r>
        <w:rPr>
          <w:rFonts w:ascii="Calibri" w:hAnsi="Calibri"/>
          <w:sz w:val="22"/>
          <w:szCs w:val="22"/>
          <w:color w:val="283548"/>
        </w:rPr>
        <w:t xml:space="preserve">Practice one call standing up to steady your breathing.</w:t>
      </w:r>
    </w:p>
    <w:p>
      <w:pPr>
        <w:numPr>
          <w:ilvl w:val="0"/>
          <w:numId w:val="1"/>
        </w:numPr>
        <w:spacing w:after="80" w:line="300" w:lineRule="auto"/>
      </w:pPr>
      <w:r>
        <w:rPr>
          <w:rFonts w:ascii="Calibri" w:hAnsi="Calibri"/>
          <w:sz w:val="22"/>
          <w:szCs w:val="22"/>
          <w:color w:val="283548"/>
        </w:rPr>
        <w:t xml:space="preserve">Pick one tonality goal per call block, not five.</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delivery sounds clear, calm, and responsive to the other person. Tonality supports meaning; it should never manufacture urgency, confidence, or intimacy that the facts do not justify.</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Read the full guide once, then highlight only the two or three prompts that match the situation you are practising today.</w:t>
      </w:r>
    </w:p>
    <w:p>
      <w:pPr>
        <w:numPr>
          <w:ilvl w:val="0"/>
          <w:numId w:val="2"/>
        </w:numPr>
        <w:spacing w:after="80" w:line="300" w:lineRule="auto"/>
      </w:pPr>
      <w:r>
        <w:rPr>
          <w:rFonts w:ascii="Calibri" w:hAnsi="Calibri"/>
          <w:sz w:val="22"/>
          <w:szCs w:val="22"/>
          <w:color w:val="283548"/>
        </w:rPr>
        <w:t xml:space="preserve">Keep the cheat sheet visible as a reminder, not as a script. Look away from it while speaking so your attention stays on the conversation.</w:t>
      </w:r>
    </w:p>
    <w:p>
      <w:pPr>
        <w:numPr>
          <w:ilvl w:val="0"/>
          <w:numId w:val="2"/>
        </w:numPr>
        <w:spacing w:after="80" w:line="300" w:lineRule="auto"/>
      </w:pPr>
      <w:r>
        <w:rPr>
          <w:rFonts w:ascii="Calibri" w:hAnsi="Calibri"/>
          <w:sz w:val="22"/>
          <w:szCs w:val="22"/>
          <w:color w:val="283548"/>
        </w:rPr>
        <w:t xml:space="preserve">Rehearse the decision points, especially where the other person can redirect, disagree, or end the interaction.</w:t>
      </w:r>
    </w:p>
    <w:p>
      <w:pPr>
        <w:numPr>
          <w:ilvl w:val="0"/>
          <w:numId w:val="2"/>
        </w:numPr>
        <w:spacing w:after="80" w:line="300" w:lineRule="auto"/>
      </w:pPr>
      <w:r>
        <w:rPr>
          <w:rFonts w:ascii="Calibri" w:hAnsi="Calibri"/>
          <w:sz w:val="22"/>
          <w:szCs w:val="22"/>
          <w:color w:val="283548"/>
        </w:rPr>
        <w:t xml:space="preserve">Mark the guidance you actually used and write one short note about what happened. Real observations are more useful than trying to memorise every line.</w:t>
      </w:r>
    </w:p>
    <w:p>
      <w:pPr>
        <w:numPr>
          <w:ilvl w:val="0"/>
          <w:numId w:val="2"/>
        </w:numPr>
        <w:spacing w:after="80" w:line="300" w:lineRule="auto"/>
      </w:pPr>
      <w:r>
        <w:rPr>
          <w:rFonts w:ascii="Calibri" w:hAnsi="Calibri"/>
          <w:sz w:val="22"/>
          <w:szCs w:val="22"/>
          <w:color w:val="283548"/>
        </w:rPr>
        <w:t xml:space="preserve">Retire prompts that feel unnatural or do not fit your market. A smaller personalised reference is more professional than a crowded universal one.</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Pace</w:t>
            </w:r>
          </w:p>
        </w:tc>
        <w:tc>
          <w:tcPr>
            <w:tcW w:w="4118" w:type="dxa"/>
            <w:vAlign w:val="center"/>
          </w:tcPr>
          <w:p>
            <w:pPr>
              <w:spacing w:after="40" w:line="280" w:lineRule="auto"/>
            </w:pPr>
            <w:r>
              <w:rPr>
                <w:rFonts w:ascii="Calibri" w:hAnsi="Calibri"/>
                <w:sz w:val="19"/>
                <w:szCs w:val="19"/>
                <w:color w:val="283548"/>
              </w:rPr>
              <w:t xml:space="preserve">Important words are easy to follow and pauses allow a response.</w:t>
            </w:r>
          </w:p>
        </w:tc>
        <w:tc>
          <w:tcPr>
            <w:tcW w:w="4042" w:type="dxa"/>
            <w:vAlign w:val="center"/>
          </w:tcPr>
          <w:p>
            <w:pPr>
              <w:spacing w:after="40" w:line="280" w:lineRule="auto"/>
            </w:pPr>
            <w:r>
              <w:rPr>
                <w:rFonts w:ascii="Calibri" w:hAnsi="Calibri"/>
                <w:sz w:val="19"/>
                <w:szCs w:val="19"/>
                <w:color w:val="283548"/>
              </w:rPr>
              <w:t xml:space="preserve">Speed increases to prevent interruption or hide uncertainty.</w:t>
            </w:r>
          </w:p>
        </w:tc>
      </w:tr>
      <w:tr>
        <w:tc>
          <w:tcPr>
            <w:tcW w:w="1200" w:type="dxa"/>
            <w:vAlign w:val="center"/>
          </w:tcPr>
          <w:p>
            <w:pPr>
              <w:spacing w:after="40" w:line="280" w:lineRule="auto"/>
            </w:pPr>
            <w:r>
              <w:rPr>
                <w:rFonts w:ascii="Calibri" w:hAnsi="Calibri"/>
                <w:sz w:val="19"/>
                <w:szCs w:val="19"/>
                <w:color w:val="283548"/>
              </w:rPr>
              <w:t xml:space="preserve">Emphasis</w:t>
            </w:r>
          </w:p>
        </w:tc>
        <w:tc>
          <w:tcPr>
            <w:tcW w:w="4118" w:type="dxa"/>
            <w:vAlign w:val="center"/>
          </w:tcPr>
          <w:p>
            <w:pPr>
              <w:spacing w:after="40" w:line="280" w:lineRule="auto"/>
            </w:pPr>
            <w:r>
              <w:rPr>
                <w:rFonts w:ascii="Calibri" w:hAnsi="Calibri"/>
                <w:sz w:val="19"/>
                <w:szCs w:val="19"/>
                <w:color w:val="283548"/>
              </w:rPr>
              <w:t xml:space="preserve">Vocal emphasis clarifies the reason, question, and next step.</w:t>
            </w:r>
          </w:p>
        </w:tc>
        <w:tc>
          <w:tcPr>
            <w:tcW w:w="4042" w:type="dxa"/>
            <w:vAlign w:val="center"/>
          </w:tcPr>
          <w:p>
            <w:pPr>
              <w:spacing w:after="40" w:line="280" w:lineRule="auto"/>
            </w:pPr>
            <w:r>
              <w:rPr>
                <w:rFonts w:ascii="Calibri" w:hAnsi="Calibri"/>
                <w:sz w:val="19"/>
                <w:szCs w:val="19"/>
                <w:color w:val="283548"/>
              </w:rPr>
              <w:t xml:space="preserve">Every sentence sounds equally rehearsed or dramatic.</w:t>
            </w:r>
          </w:p>
        </w:tc>
      </w:tr>
      <w:tr>
        <w:tc>
          <w:tcPr>
            <w:tcW w:w="1200" w:type="dxa"/>
            <w:vAlign w:val="center"/>
          </w:tcPr>
          <w:p>
            <w:pPr>
              <w:spacing w:after="40" w:line="280" w:lineRule="auto"/>
            </w:pPr>
            <w:r>
              <w:rPr>
                <w:rFonts w:ascii="Calibri" w:hAnsi="Calibri"/>
                <w:sz w:val="19"/>
                <w:szCs w:val="19"/>
                <w:color w:val="283548"/>
              </w:rPr>
              <w:t xml:space="preserve">Listening</w:t>
            </w:r>
          </w:p>
        </w:tc>
        <w:tc>
          <w:tcPr>
            <w:tcW w:w="4118" w:type="dxa"/>
            <w:vAlign w:val="center"/>
          </w:tcPr>
          <w:p>
            <w:pPr>
              <w:spacing w:after="40" w:line="280" w:lineRule="auto"/>
            </w:pPr>
            <w:r>
              <w:rPr>
                <w:rFonts w:ascii="Calibri" w:hAnsi="Calibri"/>
                <w:sz w:val="19"/>
                <w:szCs w:val="19"/>
                <w:color w:val="283548"/>
              </w:rPr>
              <w:t xml:space="preserve">Tone changes naturally in response to the other person.</w:t>
            </w:r>
          </w:p>
        </w:tc>
        <w:tc>
          <w:tcPr>
            <w:tcW w:w="4042" w:type="dxa"/>
            <w:vAlign w:val="center"/>
          </w:tcPr>
          <w:p>
            <w:pPr>
              <w:spacing w:after="40" w:line="280" w:lineRule="auto"/>
            </w:pPr>
            <w:r>
              <w:rPr>
                <w:rFonts w:ascii="Calibri" w:hAnsi="Calibri"/>
                <w:sz w:val="19"/>
                <w:szCs w:val="19"/>
                <w:color w:val="283548"/>
              </w:rPr>
              <w:t xml:space="preserve">Delivery continues unchanged after concern or confusion.</w:t>
            </w:r>
          </w:p>
        </w:tc>
      </w:tr>
      <w:tr>
        <w:tc>
          <w:tcPr>
            <w:tcW w:w="1200" w:type="dxa"/>
            <w:vAlign w:val="center"/>
          </w:tcPr>
          <w:p>
            <w:pPr>
              <w:spacing w:after="40" w:line="280" w:lineRule="auto"/>
            </w:pPr>
            <w:r>
              <w:rPr>
                <w:rFonts w:ascii="Calibri" w:hAnsi="Calibri"/>
                <w:sz w:val="19"/>
                <w:szCs w:val="19"/>
                <w:color w:val="283548"/>
              </w:rPr>
              <w:t xml:space="preserve">Authenticity</w:t>
            </w:r>
          </w:p>
        </w:tc>
        <w:tc>
          <w:tcPr>
            <w:tcW w:w="4118" w:type="dxa"/>
            <w:vAlign w:val="center"/>
          </w:tcPr>
          <w:p>
            <w:pPr>
              <w:spacing w:after="40" w:line="280" w:lineRule="auto"/>
            </w:pPr>
            <w:r>
              <w:rPr>
                <w:rFonts w:ascii="Calibri" w:hAnsi="Calibri"/>
                <w:sz w:val="19"/>
                <w:szCs w:val="19"/>
                <w:color w:val="283548"/>
              </w:rPr>
              <w:t xml:space="preserve">Language and energy match the speaker and context.</w:t>
            </w:r>
          </w:p>
        </w:tc>
        <w:tc>
          <w:tcPr>
            <w:tcW w:w="4042" w:type="dxa"/>
            <w:vAlign w:val="center"/>
          </w:tcPr>
          <w:p>
            <w:pPr>
              <w:spacing w:after="40" w:line="280" w:lineRule="auto"/>
            </w:pPr>
            <w:r>
              <w:rPr>
                <w:rFonts w:ascii="Calibri" w:hAnsi="Calibri"/>
                <w:sz w:val="19"/>
                <w:szCs w:val="19"/>
                <w:color w:val="283548"/>
              </w:rPr>
              <w:t xml:space="preserve">A borrowed persona or manipulative tone replaces clear meaning.</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Record practice audio and review pace, clarity, pauses, and filler words separately.</w:t>
      </w:r>
    </w:p>
    <w:p>
      <w:pPr>
        <w:numPr>
          <w:ilvl w:val="0"/>
          <w:numId w:val="1"/>
        </w:numPr>
        <w:spacing w:after="80" w:line="300" w:lineRule="auto"/>
      </w:pPr>
      <w:r>
        <w:rPr>
          <w:rFonts w:ascii="Calibri" w:hAnsi="Calibri"/>
          <w:sz w:val="22"/>
          <w:szCs w:val="22"/>
          <w:color w:val="283548"/>
        </w:rPr>
        <w:t xml:space="preserve">Ask whether a listener can repeat the main point after one hearing.</w:t>
      </w:r>
    </w:p>
    <w:p>
      <w:pPr>
        <w:numPr>
          <w:ilvl w:val="0"/>
          <w:numId w:val="1"/>
        </w:numPr>
        <w:spacing w:after="80" w:line="300" w:lineRule="auto"/>
      </w:pPr>
      <w:r>
        <w:rPr>
          <w:rFonts w:ascii="Calibri" w:hAnsi="Calibri"/>
          <w:sz w:val="22"/>
          <w:szCs w:val="22"/>
          <w:color w:val="283548"/>
        </w:rPr>
        <w:t xml:space="preserve">Compare your delivery before and after shortening the wording.</w:t>
      </w:r>
    </w:p>
    <w:p>
      <w:pPr>
        <w:numPr>
          <w:ilvl w:val="0"/>
          <w:numId w:val="1"/>
        </w:numPr>
        <w:spacing w:after="80" w:line="300" w:lineRule="auto"/>
      </w:pPr>
      <w:r>
        <w:rPr>
          <w:rFonts w:ascii="Calibri" w:hAnsi="Calibri"/>
          <w:sz w:val="22"/>
          <w:szCs w:val="22"/>
          <w:color w:val="283548"/>
        </w:rPr>
        <w:t xml:space="preserve">Prioritise understandable speech over sounding energetic or polished.</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Goal for today: "Pause after my opening question." On call three you catch yourself rushing, take a breath, and slow the next sentence. That single reset is the whole exercise — one adjustment, practised repeatedly.</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Tonality is about being clear and human, not about manipulating emotions. Do not use fake urgency or pressure in your voice. Practice tone with recordings or the AI Coach, not by experimenting on unsuspecting prospects.</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