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Calibri" w:hAnsi="Calibri"/>
        </w:rPr>
        <w:t xml:space="preserve">STAR Story Builder</w:t>
      </w:r>
    </w:p>
    <w:p>
      <w:pPr>
        <w:spacing w:after="100"/>
      </w:pPr>
      <w:r>
        <w:rPr>
          <w:rFonts w:ascii="Calibri" w:hAnsi="Calibri"/>
          <w:b/>
          <w:sz w:val="18"/>
          <w:szCs w:val="18"/>
          <w:color w:val="6B7280"/>
        </w:rPr>
        <w:t xml:space="preserve">INTERVIEW PREP | SKILL: INTERVIEW | DIFFICULTY: BEGINNER | EST. 15 MIN</w:t>
      </w:r>
    </w:p>
    <w:p>
      <w:pPr>
        <w:spacing w:before="40" w:after="160"/>
        <w:shd w:val="clear" w:color="auto" w:fill="EAF7EF"/>
        <w:ind w:left="160"/>
      </w:pPr>
      <w:r>
        <w:rPr>
          <w:rFonts w:ascii="Calibri" w:hAnsi="Calibri"/>
          <w:b/>
          <w:sz w:val="18"/>
          <w:szCs w:val="18"/>
          <w:color w:val="166534"/>
        </w:rPr>
        <w:t xml:space="preserve">Reviewed professional resource - AmplifyHub Practical Resource Library</w:t>
      </w:r>
    </w:p>
    <w:p>
      <w:pPr>
        <w:pStyle w:val="Heading1"/>
        <w:keepNext/>
      </w:pPr>
      <w:r>
        <w:rPr>
          <w:rFonts w:ascii="Calibri" w:hAnsi="Calibri"/>
        </w:rPr>
        <w:t xml:space="preserve">Overview</w:t>
      </w:r>
    </w:p>
    <w:p>
      <w:pPr>
        <w:spacing w:after="120" w:line="300" w:lineRule="auto"/>
      </w:pPr>
      <w:r>
        <w:rPr>
          <w:rFonts w:ascii="Calibri" w:hAnsi="Calibri"/>
          <w:sz w:val="22"/>
          <w:szCs w:val="22"/>
          <w:color w:val="283548"/>
        </w:rPr>
        <w:t xml:space="preserve">A builder for turning real experiences into clear STAR stories (Situation, Task, Action, Result) you can use for behavioural interview questions, drawn from genuine examples.</w:t>
      </w:r>
    </w:p>
    <w:p>
      <w:pPr>
        <w:pStyle w:val="Heading1"/>
        <w:keepNext/>
      </w:pPr>
      <w:r>
        <w:rPr>
          <w:rFonts w:ascii="Calibri" w:hAnsi="Calibri"/>
        </w:rPr>
        <w:t xml:space="preserve">Learning objectives</w:t>
      </w:r>
    </w:p>
    <w:p>
      <w:pPr>
        <w:numPr>
          <w:ilvl w:val="0"/>
          <w:numId w:val="1"/>
        </w:numPr>
        <w:spacing w:after="80" w:line="300" w:lineRule="auto"/>
      </w:pPr>
      <w:r>
        <w:rPr>
          <w:rFonts w:ascii="Calibri" w:hAnsi="Calibri"/>
          <w:sz w:val="22"/>
          <w:szCs w:val="22"/>
          <w:color w:val="283548"/>
        </w:rPr>
        <w:t xml:space="preserve">Structure a real experience into STAR</w:t>
      </w:r>
    </w:p>
    <w:p>
      <w:pPr>
        <w:numPr>
          <w:ilvl w:val="0"/>
          <w:numId w:val="1"/>
        </w:numPr>
        <w:spacing w:after="80" w:line="300" w:lineRule="auto"/>
      </w:pPr>
      <w:r>
        <w:rPr>
          <w:rFonts w:ascii="Calibri" w:hAnsi="Calibri"/>
          <w:sz w:val="22"/>
          <w:szCs w:val="22"/>
          <w:color w:val="283548"/>
        </w:rPr>
        <w:t xml:space="preserve">Keep the story concise and specific</w:t>
      </w:r>
    </w:p>
    <w:p>
      <w:pPr>
        <w:numPr>
          <w:ilvl w:val="0"/>
          <w:numId w:val="1"/>
        </w:numPr>
        <w:spacing w:after="80" w:line="300" w:lineRule="auto"/>
      </w:pPr>
      <w:r>
        <w:rPr>
          <w:rFonts w:ascii="Calibri" w:hAnsi="Calibri"/>
          <w:sz w:val="22"/>
          <w:szCs w:val="22"/>
          <w:color w:val="283548"/>
        </w:rPr>
        <w:t xml:space="preserve">Focus on your own actions</w:t>
      </w:r>
    </w:p>
    <w:p>
      <w:pPr>
        <w:numPr>
          <w:ilvl w:val="0"/>
          <w:numId w:val="1"/>
        </w:numPr>
        <w:spacing w:after="80" w:line="300" w:lineRule="auto"/>
      </w:pPr>
      <w:r>
        <w:rPr>
          <w:rFonts w:ascii="Calibri" w:hAnsi="Calibri"/>
          <w:sz w:val="22"/>
          <w:szCs w:val="22"/>
          <w:color w:val="283548"/>
        </w:rPr>
        <w:t xml:space="preserve">State an honest, concrete result</w:t>
      </w:r>
    </w:p>
    <w:p>
      <w:pPr>
        <w:pStyle w:val="Heading1"/>
        <w:keepNext/>
      </w:pPr>
      <w:r>
        <w:rPr>
          <w:rFonts w:ascii="Calibri" w:hAnsi="Calibri"/>
        </w:rPr>
        <w:t xml:space="preserve">STAR at a glance</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2005"/>
        <w:gridCol w:w="7355"/>
      </w:tblGrid>
      <w:tr>
        <w:trPr>
          <w:tblHeader/>
        </w:trPr>
        <w:tc>
          <w:tcPr>
            <w:tcW w:w="2005" w:type="dxa"/>
            <w:vAlign w:val="center"/>
            <w:shd w:val="clear" w:color="auto" w:fill="FFF3C4"/>
          </w:tcPr>
          <w:p>
            <w:pPr>
              <w:spacing w:after="40" w:line="280" w:lineRule="auto"/>
            </w:pPr>
            <w:r>
              <w:rPr>
                <w:rFonts w:ascii="Calibri" w:hAnsi="Calibri"/>
                <w:b/>
                <w:sz w:val="19"/>
                <w:szCs w:val="19"/>
                <w:color w:val="6B4F00"/>
              </w:rPr>
              <w:t xml:space="preserve">Part</w:t>
            </w:r>
          </w:p>
        </w:tc>
        <w:tc>
          <w:tcPr>
            <w:tcW w:w="7355" w:type="dxa"/>
            <w:vAlign w:val="center"/>
            <w:shd w:val="clear" w:color="auto" w:fill="FFF3C4"/>
          </w:tcPr>
          <w:p>
            <w:pPr>
              <w:spacing w:after="40" w:line="280" w:lineRule="auto"/>
            </w:pPr>
            <w:r>
              <w:rPr>
                <w:rFonts w:ascii="Calibri" w:hAnsi="Calibri"/>
                <w:b/>
                <w:sz w:val="19"/>
                <w:szCs w:val="19"/>
                <w:color w:val="6B4F00"/>
              </w:rPr>
              <w:t xml:space="preserve">What to include</w:t>
            </w:r>
          </w:p>
        </w:tc>
      </w:tr>
      <w:tr>
        <w:tc>
          <w:tcPr>
            <w:tcW w:w="2005" w:type="dxa"/>
            <w:vAlign w:val="center"/>
          </w:tcPr>
          <w:p>
            <w:pPr>
              <w:spacing w:after="40" w:line="280" w:lineRule="auto"/>
            </w:pPr>
            <w:r>
              <w:rPr>
                <w:rFonts w:ascii="Calibri" w:hAnsi="Calibri"/>
                <w:sz w:val="19"/>
                <w:szCs w:val="19"/>
                <w:color w:val="283548"/>
              </w:rPr>
              <w:t xml:space="preserve">Situation</w:t>
            </w:r>
          </w:p>
        </w:tc>
        <w:tc>
          <w:tcPr>
            <w:tcW w:w="7355" w:type="dxa"/>
            <w:vAlign w:val="center"/>
          </w:tcPr>
          <w:p>
            <w:pPr>
              <w:spacing w:after="40" w:line="280" w:lineRule="auto"/>
            </w:pPr>
            <w:r>
              <w:rPr>
                <w:rFonts w:ascii="Calibri" w:hAnsi="Calibri"/>
                <w:sz w:val="19"/>
                <w:szCs w:val="19"/>
                <w:color w:val="283548"/>
              </w:rPr>
              <w:t xml:space="preserve">A brief, real context (one or two sentences).</w:t>
            </w:r>
          </w:p>
        </w:tc>
      </w:tr>
      <w:tr>
        <w:tc>
          <w:tcPr>
            <w:tcW w:w="2005" w:type="dxa"/>
            <w:vAlign w:val="center"/>
          </w:tcPr>
          <w:p>
            <w:pPr>
              <w:spacing w:after="40" w:line="280" w:lineRule="auto"/>
            </w:pPr>
            <w:r>
              <w:rPr>
                <w:rFonts w:ascii="Calibri" w:hAnsi="Calibri"/>
                <w:sz w:val="19"/>
                <w:szCs w:val="19"/>
                <w:color w:val="283548"/>
              </w:rPr>
              <w:t xml:space="preserve">Task</w:t>
            </w:r>
          </w:p>
        </w:tc>
        <w:tc>
          <w:tcPr>
            <w:tcW w:w="7355" w:type="dxa"/>
            <w:vAlign w:val="center"/>
          </w:tcPr>
          <w:p>
            <w:pPr>
              <w:spacing w:after="40" w:line="280" w:lineRule="auto"/>
            </w:pPr>
            <w:r>
              <w:rPr>
                <w:rFonts w:ascii="Calibri" w:hAnsi="Calibri"/>
                <w:sz w:val="19"/>
                <w:szCs w:val="19"/>
                <w:color w:val="283548"/>
              </w:rPr>
              <w:t xml:space="preserve">What you were responsible for.</w:t>
            </w:r>
          </w:p>
        </w:tc>
      </w:tr>
      <w:tr>
        <w:tc>
          <w:tcPr>
            <w:tcW w:w="2005" w:type="dxa"/>
            <w:vAlign w:val="center"/>
          </w:tcPr>
          <w:p>
            <w:pPr>
              <w:spacing w:after="40" w:line="280" w:lineRule="auto"/>
            </w:pPr>
            <w:r>
              <w:rPr>
                <w:rFonts w:ascii="Calibri" w:hAnsi="Calibri"/>
                <w:sz w:val="19"/>
                <w:szCs w:val="19"/>
                <w:color w:val="283548"/>
              </w:rPr>
              <w:t xml:space="preserve">Action</w:t>
            </w:r>
          </w:p>
        </w:tc>
        <w:tc>
          <w:tcPr>
            <w:tcW w:w="7355" w:type="dxa"/>
            <w:vAlign w:val="center"/>
          </w:tcPr>
          <w:p>
            <w:pPr>
              <w:spacing w:after="40" w:line="280" w:lineRule="auto"/>
            </w:pPr>
            <w:r>
              <w:rPr>
                <w:rFonts w:ascii="Calibri" w:hAnsi="Calibri"/>
                <w:sz w:val="19"/>
                <w:szCs w:val="19"/>
                <w:color w:val="283548"/>
              </w:rPr>
              <w:t xml:space="preserve">The specific steps you personally took.</w:t>
            </w:r>
          </w:p>
        </w:tc>
      </w:tr>
      <w:tr>
        <w:tc>
          <w:tcPr>
            <w:tcW w:w="2005" w:type="dxa"/>
            <w:vAlign w:val="center"/>
          </w:tcPr>
          <w:p>
            <w:pPr>
              <w:spacing w:after="40" w:line="280" w:lineRule="auto"/>
            </w:pPr>
            <w:r>
              <w:rPr>
                <w:rFonts w:ascii="Calibri" w:hAnsi="Calibri"/>
                <w:sz w:val="19"/>
                <w:szCs w:val="19"/>
                <w:color w:val="283548"/>
              </w:rPr>
              <w:t xml:space="preserve">Result</w:t>
            </w:r>
          </w:p>
        </w:tc>
        <w:tc>
          <w:tcPr>
            <w:tcW w:w="7355" w:type="dxa"/>
            <w:vAlign w:val="center"/>
          </w:tcPr>
          <w:p>
            <w:pPr>
              <w:spacing w:after="40" w:line="280" w:lineRule="auto"/>
            </w:pPr>
            <w:r>
              <w:rPr>
                <w:rFonts w:ascii="Calibri" w:hAnsi="Calibri"/>
                <w:sz w:val="19"/>
                <w:szCs w:val="19"/>
                <w:color w:val="283548"/>
              </w:rPr>
              <w:t xml:space="preserve">What actually happened, honestly stated.</w:t>
            </w:r>
          </w:p>
        </w:tc>
      </w:tr>
    </w:tbl>
    <w:p>
      <w:pPr>
        <w:spacing w:after="80"/>
      </w:pPr>
      <w:r>
        <w:rPr>
          <w:rFonts w:ascii="Calibri" w:hAnsi="Calibri"/>
        </w:rPr>
        <w:t xml:space="preserve"/>
      </w:r>
    </w:p>
    <w:p>
      <w:pPr>
        <w:pStyle w:val="Heading1"/>
        <w:keepNext/>
      </w:pPr>
      <w:r>
        <w:rPr>
          <w:rFonts w:ascii="Calibri" w:hAnsi="Calibri"/>
        </w:rPr>
        <w:t xml:space="preserve">Build one story</w:t>
      </w:r>
    </w:p>
    <w:p>
      <w:pPr>
        <w:numPr>
          <w:ilvl w:val="0"/>
          <w:numId w:val="1"/>
        </w:numPr>
        <w:spacing w:after="80" w:line="300" w:lineRule="auto"/>
      </w:pPr>
      <w:r>
        <w:rPr>
          <w:rFonts w:ascii="Calibri" w:hAnsi="Calibri"/>
          <w:sz w:val="22"/>
          <w:szCs w:val="22"/>
          <w:color w:val="283548"/>
        </w:rPr>
        <w:t xml:space="preserve">Situation (real context): ______________________________</w:t>
      </w:r>
    </w:p>
    <w:p>
      <w:pPr>
        <w:numPr>
          <w:ilvl w:val="0"/>
          <w:numId w:val="1"/>
        </w:numPr>
        <w:spacing w:after="80" w:line="300" w:lineRule="auto"/>
      </w:pPr>
      <w:r>
        <w:rPr>
          <w:rFonts w:ascii="Calibri" w:hAnsi="Calibri"/>
          <w:sz w:val="22"/>
          <w:szCs w:val="22"/>
          <w:color w:val="283548"/>
        </w:rPr>
        <w:t xml:space="preserve">Task (your responsibility): ______________________________</w:t>
      </w:r>
    </w:p>
    <w:p>
      <w:pPr>
        <w:numPr>
          <w:ilvl w:val="0"/>
          <w:numId w:val="1"/>
        </w:numPr>
        <w:spacing w:after="80" w:line="300" w:lineRule="auto"/>
      </w:pPr>
      <w:r>
        <w:rPr>
          <w:rFonts w:ascii="Calibri" w:hAnsi="Calibri"/>
          <w:sz w:val="22"/>
          <w:szCs w:val="22"/>
          <w:color w:val="283548"/>
        </w:rPr>
        <w:t xml:space="preserve">Action (what you did, step by step): ______________________________</w:t>
      </w:r>
    </w:p>
    <w:p>
      <w:pPr>
        <w:numPr>
          <w:ilvl w:val="0"/>
          <w:numId w:val="1"/>
        </w:numPr>
        <w:spacing w:after="80" w:line="300" w:lineRule="auto"/>
      </w:pPr>
      <w:r>
        <w:rPr>
          <w:rFonts w:ascii="Calibri" w:hAnsi="Calibri"/>
          <w:sz w:val="22"/>
          <w:szCs w:val="22"/>
          <w:color w:val="283548"/>
        </w:rPr>
        <w:t xml:space="preserve">Result (honest outcome, with a number if you have one): ______________________________</w:t>
      </w:r>
    </w:p>
    <w:p>
      <w:pPr>
        <w:pStyle w:val="Heading1"/>
        <w:keepNext/>
      </w:pPr>
      <w:r>
        <w:rPr>
          <w:rFonts w:ascii="Calibri" w:hAnsi="Calibri"/>
        </w:rPr>
        <w:t xml:space="preserve">Professional standard</w:t>
      </w:r>
    </w:p>
    <w:p>
      <w:pPr>
        <w:spacing w:after="120" w:line="300" w:lineRule="auto"/>
      </w:pPr>
      <w:r>
        <w:rPr>
          <w:rFonts w:ascii="Calibri" w:hAnsi="Calibri"/>
          <w:sz w:val="22"/>
          <w:szCs w:val="22"/>
          <w:color w:val="283548"/>
        </w:rPr>
        <w:t xml:space="preserve">Professional interview preparation connects honest evidence to the employer's real requirements. Answers should be structured enough to follow, flexible enough for dialogue, and precise about what you personally did and learned.</w:t>
      </w:r>
    </w:p>
    <w:p>
      <w:pPr>
        <w:pStyle w:val="Heading1"/>
        <w:keepNext/>
      </w:pPr>
      <w:r>
        <w:rPr>
          <w:rFonts w:ascii="Calibri" w:hAnsi="Calibri"/>
        </w:rPr>
        <w:t xml:space="preserve">Professional workflow</w:t>
      </w:r>
    </w:p>
    <w:p>
      <w:pPr>
        <w:numPr>
          <w:ilvl w:val="0"/>
          <w:numId w:val="2"/>
        </w:numPr>
        <w:spacing w:after="80" w:line="300" w:lineRule="auto"/>
      </w:pPr>
      <w:r>
        <w:rPr>
          <w:rFonts w:ascii="Calibri" w:hAnsi="Calibri"/>
          <w:sz w:val="22"/>
          <w:szCs w:val="22"/>
          <w:color w:val="283548"/>
        </w:rPr>
        <w:t xml:space="preserve">Study the job description and company before completing the resource. Match your preparation to the actual role rather than a generic sales interview.</w:t>
      </w:r>
    </w:p>
    <w:p>
      <w:pPr>
        <w:numPr>
          <w:ilvl w:val="0"/>
          <w:numId w:val="2"/>
        </w:numPr>
        <w:spacing w:after="80" w:line="300" w:lineRule="auto"/>
      </w:pPr>
      <w:r>
        <w:rPr>
          <w:rFonts w:ascii="Calibri" w:hAnsi="Calibri"/>
          <w:sz w:val="22"/>
          <w:szCs w:val="22"/>
          <w:color w:val="283548"/>
        </w:rPr>
        <w:t xml:space="preserve">Build answers from real evidence: work, study, volunteering, projects, or deliberate practice. Label estimates honestly and never invent experience.</w:t>
      </w:r>
    </w:p>
    <w:p>
      <w:pPr>
        <w:numPr>
          <w:ilvl w:val="0"/>
          <w:numId w:val="2"/>
        </w:numPr>
        <w:spacing w:after="80" w:line="300" w:lineRule="auto"/>
      </w:pPr>
      <w:r>
        <w:rPr>
          <w:rFonts w:ascii="Calibri" w:hAnsi="Calibri"/>
          <w:sz w:val="22"/>
          <w:szCs w:val="22"/>
          <w:color w:val="283548"/>
        </w:rPr>
        <w:t xml:space="preserve">Practise aloud with a timer, then repeat with a follow-up question or interruption. Strong answers stay clear when the conversation changes.</w:t>
      </w:r>
    </w:p>
    <w:p>
      <w:pPr>
        <w:numPr>
          <w:ilvl w:val="0"/>
          <w:numId w:val="2"/>
        </w:numPr>
        <w:spacing w:after="80" w:line="300" w:lineRule="auto"/>
      </w:pPr>
      <w:r>
        <w:rPr>
          <w:rFonts w:ascii="Calibri" w:hAnsi="Calibri"/>
          <w:sz w:val="22"/>
          <w:szCs w:val="22"/>
          <w:color w:val="283548"/>
        </w:rPr>
        <w:t xml:space="preserve">Ask a reviewer or the AI Coach to score clarity, evidence, relevance, and concision. Convert broad feedback into one specific revision.</w:t>
      </w:r>
    </w:p>
    <w:p>
      <w:pPr>
        <w:numPr>
          <w:ilvl w:val="0"/>
          <w:numId w:val="2"/>
        </w:numPr>
        <w:spacing w:after="80" w:line="300" w:lineRule="auto"/>
      </w:pPr>
      <w:r>
        <w:rPr>
          <w:rFonts w:ascii="Calibri" w:hAnsi="Calibri"/>
          <w:sz w:val="22"/>
          <w:szCs w:val="22"/>
          <w:color w:val="283548"/>
        </w:rPr>
        <w:t xml:space="preserve">Prepare a concise version and a fuller version of each answer. Use the concise version first and add detail only when the interviewer asks.</w:t>
      </w:r>
    </w:p>
    <w:p>
      <w:pPr>
        <w:pStyle w:val="Heading1"/>
        <w:keepNext/>
      </w:pPr>
      <w:r>
        <w:rPr>
          <w:rFonts w:ascii="Calibri" w:hAnsi="Calibri"/>
        </w:rPr>
        <w:t xml:space="preserve">Quality-control review</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1200"/>
        <w:gridCol w:w="4118"/>
        <w:gridCol w:w="4042"/>
      </w:tblGrid>
      <w:tr>
        <w:trPr>
          <w:tblHeader/>
        </w:trPr>
        <w:tc>
          <w:tcPr>
            <w:tcW w:w="1200" w:type="dxa"/>
            <w:vAlign w:val="center"/>
            <w:shd w:val="clear" w:color="auto" w:fill="FFF3C4"/>
          </w:tcPr>
          <w:p>
            <w:pPr>
              <w:spacing w:after="40" w:line="280" w:lineRule="auto"/>
            </w:pPr>
            <w:r>
              <w:rPr>
                <w:rFonts w:ascii="Calibri" w:hAnsi="Calibri"/>
                <w:b/>
                <w:sz w:val="19"/>
                <w:szCs w:val="19"/>
                <w:color w:val="6B4F00"/>
              </w:rPr>
              <w:t xml:space="preserve">Review point</w:t>
            </w:r>
          </w:p>
        </w:tc>
        <w:tc>
          <w:tcPr>
            <w:tcW w:w="4118" w:type="dxa"/>
            <w:vAlign w:val="center"/>
            <w:shd w:val="clear" w:color="auto" w:fill="FFF3C4"/>
          </w:tcPr>
          <w:p>
            <w:pPr>
              <w:spacing w:after="40" w:line="280" w:lineRule="auto"/>
            </w:pPr>
            <w:r>
              <w:rPr>
                <w:rFonts w:ascii="Calibri" w:hAnsi="Calibri"/>
                <w:b/>
                <w:sz w:val="19"/>
                <w:szCs w:val="19"/>
                <w:color w:val="6B4F00"/>
              </w:rPr>
              <w:t xml:space="preserve">Professional standard</w:t>
            </w:r>
          </w:p>
        </w:tc>
        <w:tc>
          <w:tcPr>
            <w:tcW w:w="4042" w:type="dxa"/>
            <w:vAlign w:val="center"/>
            <w:shd w:val="clear" w:color="auto" w:fill="FFF3C4"/>
          </w:tcPr>
          <w:p>
            <w:pPr>
              <w:spacing w:after="40" w:line="280" w:lineRule="auto"/>
            </w:pPr>
            <w:r>
              <w:rPr>
                <w:rFonts w:ascii="Calibri" w:hAnsi="Calibri"/>
                <w:b/>
                <w:sz w:val="19"/>
                <w:szCs w:val="19"/>
                <w:color w:val="6B4F00"/>
              </w:rPr>
              <w:t xml:space="preserve">Warning sign</w:t>
            </w:r>
          </w:p>
        </w:tc>
      </w:tr>
      <w:tr>
        <w:tc>
          <w:tcPr>
            <w:tcW w:w="1200" w:type="dxa"/>
            <w:vAlign w:val="center"/>
          </w:tcPr>
          <w:p>
            <w:pPr>
              <w:spacing w:after="40" w:line="280" w:lineRule="auto"/>
            </w:pPr>
            <w:r>
              <w:rPr>
                <w:rFonts w:ascii="Calibri" w:hAnsi="Calibri"/>
                <w:sz w:val="19"/>
                <w:szCs w:val="19"/>
                <w:color w:val="283548"/>
              </w:rPr>
              <w:t xml:space="preserve">Relevance</w:t>
            </w:r>
          </w:p>
        </w:tc>
        <w:tc>
          <w:tcPr>
            <w:tcW w:w="4118" w:type="dxa"/>
            <w:vAlign w:val="center"/>
          </w:tcPr>
          <w:p>
            <w:pPr>
              <w:spacing w:after="40" w:line="280" w:lineRule="auto"/>
            </w:pPr>
            <w:r>
              <w:rPr>
                <w:rFonts w:ascii="Calibri" w:hAnsi="Calibri"/>
                <w:sz w:val="19"/>
                <w:szCs w:val="19"/>
                <w:color w:val="283548"/>
              </w:rPr>
              <w:t xml:space="preserve">The answer addresses the role requirement and the exact question asked.</w:t>
            </w:r>
          </w:p>
        </w:tc>
        <w:tc>
          <w:tcPr>
            <w:tcW w:w="4042" w:type="dxa"/>
            <w:vAlign w:val="center"/>
          </w:tcPr>
          <w:p>
            <w:pPr>
              <w:spacing w:after="40" w:line="280" w:lineRule="auto"/>
            </w:pPr>
            <w:r>
              <w:rPr>
                <w:rFonts w:ascii="Calibri" w:hAnsi="Calibri"/>
                <w:sz w:val="19"/>
                <w:szCs w:val="19"/>
                <w:color w:val="283548"/>
              </w:rPr>
              <w:t xml:space="preserve">A polished story is used even when it does not answer the question.</w:t>
            </w:r>
          </w:p>
        </w:tc>
      </w:tr>
      <w:tr>
        <w:tc>
          <w:tcPr>
            <w:tcW w:w="1200" w:type="dxa"/>
            <w:vAlign w:val="center"/>
          </w:tcPr>
          <w:p>
            <w:pPr>
              <w:spacing w:after="40" w:line="280" w:lineRule="auto"/>
            </w:pPr>
            <w:r>
              <w:rPr>
                <w:rFonts w:ascii="Calibri" w:hAnsi="Calibri"/>
                <w:sz w:val="19"/>
                <w:szCs w:val="19"/>
                <w:color w:val="283548"/>
              </w:rPr>
              <w:t xml:space="preserve">Evidence</w:t>
            </w:r>
          </w:p>
        </w:tc>
        <w:tc>
          <w:tcPr>
            <w:tcW w:w="4118" w:type="dxa"/>
            <w:vAlign w:val="center"/>
          </w:tcPr>
          <w:p>
            <w:pPr>
              <w:spacing w:after="40" w:line="280" w:lineRule="auto"/>
            </w:pPr>
            <w:r>
              <w:rPr>
                <w:rFonts w:ascii="Calibri" w:hAnsi="Calibri"/>
                <w:sz w:val="19"/>
                <w:szCs w:val="19"/>
                <w:color w:val="283548"/>
              </w:rPr>
              <w:t xml:space="preserve">Actions, decisions, and results are specific and attributable.</w:t>
            </w:r>
          </w:p>
        </w:tc>
        <w:tc>
          <w:tcPr>
            <w:tcW w:w="4042" w:type="dxa"/>
            <w:vAlign w:val="center"/>
          </w:tcPr>
          <w:p>
            <w:pPr>
              <w:spacing w:after="40" w:line="280" w:lineRule="auto"/>
            </w:pPr>
            <w:r>
              <w:rPr>
                <w:rFonts w:ascii="Calibri" w:hAnsi="Calibri"/>
                <w:sz w:val="19"/>
                <w:szCs w:val="19"/>
                <w:color w:val="283548"/>
              </w:rPr>
              <w:t xml:space="preserve">Team outcomes are claimed as personal achievements.</w:t>
            </w:r>
          </w:p>
        </w:tc>
      </w:tr>
      <w:tr>
        <w:tc>
          <w:tcPr>
            <w:tcW w:w="1200" w:type="dxa"/>
            <w:vAlign w:val="center"/>
          </w:tcPr>
          <w:p>
            <w:pPr>
              <w:spacing w:after="40" w:line="280" w:lineRule="auto"/>
            </w:pPr>
            <w:r>
              <w:rPr>
                <w:rFonts w:ascii="Calibri" w:hAnsi="Calibri"/>
                <w:sz w:val="19"/>
                <w:szCs w:val="19"/>
                <w:color w:val="283548"/>
              </w:rPr>
              <w:t xml:space="preserve">Structure</w:t>
            </w:r>
          </w:p>
        </w:tc>
        <w:tc>
          <w:tcPr>
            <w:tcW w:w="4118" w:type="dxa"/>
            <w:vAlign w:val="center"/>
          </w:tcPr>
          <w:p>
            <w:pPr>
              <w:spacing w:after="40" w:line="280" w:lineRule="auto"/>
            </w:pPr>
            <w:r>
              <w:rPr>
                <w:rFonts w:ascii="Calibri" w:hAnsi="Calibri"/>
                <w:sz w:val="19"/>
                <w:szCs w:val="19"/>
                <w:color w:val="283548"/>
              </w:rPr>
              <w:t xml:space="preserve">The answer has a clear beginning, evidence, and conclusion.</w:t>
            </w:r>
          </w:p>
        </w:tc>
        <w:tc>
          <w:tcPr>
            <w:tcW w:w="4042" w:type="dxa"/>
            <w:vAlign w:val="center"/>
          </w:tcPr>
          <w:p>
            <w:pPr>
              <w:spacing w:after="40" w:line="280" w:lineRule="auto"/>
            </w:pPr>
            <w:r>
              <w:rPr>
                <w:rFonts w:ascii="Calibri" w:hAnsi="Calibri"/>
                <w:sz w:val="19"/>
                <w:szCs w:val="19"/>
                <w:color w:val="283548"/>
              </w:rPr>
              <w:t xml:space="preserve">Context expands while the important action remains vague.</w:t>
            </w:r>
          </w:p>
        </w:tc>
      </w:tr>
      <w:tr>
        <w:tc>
          <w:tcPr>
            <w:tcW w:w="1200" w:type="dxa"/>
            <w:vAlign w:val="center"/>
          </w:tcPr>
          <w:p>
            <w:pPr>
              <w:spacing w:after="40" w:line="280" w:lineRule="auto"/>
            </w:pPr>
            <w:r>
              <w:rPr>
                <w:rFonts w:ascii="Calibri" w:hAnsi="Calibri"/>
                <w:sz w:val="19"/>
                <w:szCs w:val="19"/>
                <w:color w:val="283548"/>
              </w:rPr>
              <w:t xml:space="preserve">Reflection</w:t>
            </w:r>
          </w:p>
        </w:tc>
        <w:tc>
          <w:tcPr>
            <w:tcW w:w="4118" w:type="dxa"/>
            <w:vAlign w:val="center"/>
          </w:tcPr>
          <w:p>
            <w:pPr>
              <w:spacing w:after="40" w:line="280" w:lineRule="auto"/>
            </w:pPr>
            <w:r>
              <w:rPr>
                <w:rFonts w:ascii="Calibri" w:hAnsi="Calibri"/>
                <w:sz w:val="19"/>
                <w:szCs w:val="19"/>
                <w:color w:val="283548"/>
              </w:rPr>
              <w:t xml:space="preserve">Learning and future application are stated honestly.</w:t>
            </w:r>
          </w:p>
        </w:tc>
        <w:tc>
          <w:tcPr>
            <w:tcW w:w="4042" w:type="dxa"/>
            <w:vAlign w:val="center"/>
          </w:tcPr>
          <w:p>
            <w:pPr>
              <w:spacing w:after="40" w:line="280" w:lineRule="auto"/>
            </w:pPr>
            <w:r>
              <w:rPr>
                <w:rFonts w:ascii="Calibri" w:hAnsi="Calibri"/>
                <w:sz w:val="19"/>
                <w:szCs w:val="19"/>
                <w:color w:val="283548"/>
              </w:rPr>
              <w:t xml:space="preserve">The answer ends with a result but shows no self-awareness.</w:t>
            </w:r>
          </w:p>
        </w:tc>
      </w:tr>
    </w:tbl>
    <w:p>
      <w:pPr>
        <w:spacing w:after="80"/>
      </w:pPr>
      <w:r>
        <w:rPr>
          <w:rFonts w:ascii="Calibri" w:hAnsi="Calibri"/>
        </w:rPr>
        <w:t xml:space="preserve"/>
      </w:r>
    </w:p>
    <w:p>
      <w:pPr>
        <w:pStyle w:val="Heading1"/>
        <w:keepNext/>
      </w:pPr>
      <w:r>
        <w:rPr>
          <w:rFonts w:ascii="Calibri" w:hAnsi="Calibri"/>
        </w:rPr>
        <w:t xml:space="preserve">Evidence and improvement signals</w:t>
      </w:r>
    </w:p>
    <w:p>
      <w:pPr>
        <w:numPr>
          <w:ilvl w:val="0"/>
          <w:numId w:val="1"/>
        </w:numPr>
        <w:spacing w:after="80" w:line="300" w:lineRule="auto"/>
      </w:pPr>
      <w:r>
        <w:rPr>
          <w:rFonts w:ascii="Calibri" w:hAnsi="Calibri"/>
          <w:sz w:val="22"/>
          <w:szCs w:val="22"/>
          <w:color w:val="283548"/>
        </w:rPr>
        <w:t xml:space="preserve">Time both a 60-90 second version and a fuller two-minute version of key answers.</w:t>
      </w:r>
    </w:p>
    <w:p>
      <w:pPr>
        <w:numPr>
          <w:ilvl w:val="0"/>
          <w:numId w:val="1"/>
        </w:numPr>
        <w:spacing w:after="80" w:line="300" w:lineRule="auto"/>
      </w:pPr>
      <w:r>
        <w:rPr>
          <w:rFonts w:ascii="Calibri" w:hAnsi="Calibri"/>
          <w:sz w:val="22"/>
          <w:szCs w:val="22"/>
          <w:color w:val="283548"/>
        </w:rPr>
        <w:t xml:space="preserve">Map every prepared example to the job requirement it supports.</w:t>
      </w:r>
    </w:p>
    <w:p>
      <w:pPr>
        <w:numPr>
          <w:ilvl w:val="0"/>
          <w:numId w:val="1"/>
        </w:numPr>
        <w:spacing w:after="80" w:line="300" w:lineRule="auto"/>
      </w:pPr>
      <w:r>
        <w:rPr>
          <w:rFonts w:ascii="Calibri" w:hAnsi="Calibri"/>
          <w:sz w:val="22"/>
          <w:szCs w:val="22"/>
          <w:color w:val="283548"/>
        </w:rPr>
        <w:t xml:space="preserve">Record follow-up questions you struggled with and strengthen the underlying evidence.</w:t>
      </w:r>
    </w:p>
    <w:p>
      <w:pPr>
        <w:numPr>
          <w:ilvl w:val="0"/>
          <w:numId w:val="1"/>
        </w:numPr>
        <w:spacing w:after="80" w:line="300" w:lineRule="auto"/>
      </w:pPr>
      <w:r>
        <w:rPr>
          <w:rFonts w:ascii="Calibri" w:hAnsi="Calibri"/>
          <w:sz w:val="22"/>
          <w:szCs w:val="22"/>
          <w:color w:val="283548"/>
        </w:rPr>
        <w:t xml:space="preserve">Review accuracy, clarity, and relevance before trying to sound more impressive.</w:t>
      </w:r>
    </w:p>
    <w:p>
      <w:pPr>
        <w:pStyle w:val="Heading1"/>
        <w:keepNext/>
      </w:pPr>
      <w:r>
        <w:rPr>
          <w:rFonts w:ascii="Calibri" w:hAnsi="Calibri"/>
        </w:rPr>
        <w:t xml:space="preserve">Worked example</w:t>
      </w:r>
    </w:p>
    <w:p>
      <w:pPr>
        <w:spacing w:after="120" w:line="300" w:lineRule="auto"/>
      </w:pPr>
      <w:r>
        <w:rPr>
          <w:rFonts w:ascii="Calibri" w:hAnsi="Calibri"/>
          <w:sz w:val="22"/>
          <w:szCs w:val="22"/>
          <w:color w:val="283548"/>
        </w:rPr>
        <w:t xml:space="preserve">Situation: "I set a goal to get comfortable with cold-call openers." Task: "Practise daily for two weeks." Action: "I ran a short roleplay each morning and logged one fix per session." Result: "By the end I could open in under 15 seconds without notes." A practice story is valid — keep it true.</w:t>
      </w:r>
    </w:p>
    <w:p>
      <w:pPr>
        <w:pStyle w:val="Heading1"/>
        <w:keepNext/>
      </w:pPr>
      <w:r>
        <w:rPr>
          <w:rFonts w:ascii="Calibri" w:hAnsi="Calibri"/>
        </w:rPr>
        <w:t xml:space="preserve">Safe-practice note</w:t>
      </w:r>
    </w:p>
    <w:p>
      <w:pPr>
        <w:spacing w:after="120" w:line="300" w:lineRule="auto"/>
      </w:pPr>
      <w:r>
        <w:rPr>
          <w:rFonts w:ascii="Calibri" w:hAnsi="Calibri"/>
          <w:sz w:val="22"/>
          <w:szCs w:val="22"/>
          <w:color w:val="283548"/>
        </w:rPr>
        <w:t xml:space="preserve">Use real experiences — study, volunteering, part-time work, or dedicated practice all count. Never invent a job, a result, or a metric. If a number is an estimate, say "about". Honest, modest stories beat impressive fiction.</w:t>
      </w:r>
    </w:p>
    <w:p>
      <w:pPr>
        <w:spacing w:before="240" w:after="40"/>
      </w:pPr>
      <w:r>
        <w:rPr>
          <w:rFonts w:ascii="Calibri" w:hAnsi="Calibri"/>
          <w:sz w:val="17"/>
          <w:szCs w:val="17"/>
          <w:color w:val="7B8494"/>
        </w:rPr>
        <w:t xml:space="preserve">Last reviewed: 2026-07-28 | AmplifyHub Practical Resource Library</w:t>
      </w:r>
    </w:p>
    <w:sectPr>
      <w:headerReference w:type="default" r:id="rId3"/>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w:p>
    <w:pPr>
      <w:jc w:val="right"/>
    </w:pPr>
    <w:r>
      <w:rPr>
        <w:color w:val="7B8494"/>
        <w:sz w:val="16"/>
      </w:rPr>
      <w:t>AmplifyHub  |  Page </w:t>
    </w:r>
    <w:fldSimple w:instr="PAGE">
      <w:r>
        <w:rPr>
          <w:color w:val="7B8494"/>
          <w:sz w:val="16"/>
        </w:rPr>
        <w:t>1</w:t>
      </w:r>
    </w:fldSimple>
  </w:p>
</w:ftr>
</file>

<file path=word/header1.xml><?xml version="1.0" encoding="utf-8"?>
<w:hdr xmlns:w="http://schemas.openxmlformats.org/wordprocessingml/2006/main">
  <w:p>
    <w:pPr>
      <w:spacing w:after="40"/>
    </w:pPr>
    <w:r>
      <w:rPr>
        <w:rFonts w:ascii="Calibri" w:hAnsi="Calibri"/>
        <w:b/>
        <w:sz w:val="16"/>
        <w:szCs w:val="16"/>
        <w:color w:val="8A6200"/>
      </w:rPr>
      <w:t xml:space="preserve">AMPLIFYHUB  |  PRACTICAL RESOURCE LIBRARY</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
    <w:multiLevelType w:val="singleLevel"/>
    <w:lvl w:ilvl="0">
      <w:start w:val="1"/>
      <w:numFmt w:val="decimal"/>
      <w:lvlText w:val="%1."/>
      <w:lvlJc w:val="left"/>
      <w:pPr>
        <w:tabs>
          <w:tab w:val="num" w:pos="540"/>
        </w:tabs>
        <w:ind w:left="540" w:hanging="270"/>
        <w:spacing w:after="80" w:line="300" w:lineRule="auto"/>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pPr>
      <w:spacing w:after="120" w:line="300" w:lineRule="auto"/>
    </w:pPr>
    <w:rPr>
      <w:rFonts w:ascii="Calibri" w:hAnsi="Calibri"/>
      <w:sz w:val="22"/>
      <w:color w:val="283548"/>
    </w:rPr>
  </w:style>
  <w:style w:type="paragraph" w:styleId="Title">
    <w:name w:val="Title"/>
    <w:pPr>
      <w:keepNext/>
      <w:spacing w:after="120"/>
    </w:pPr>
    <w:rPr>
      <w:rFonts w:ascii="Calibri" w:hAnsi="Calibri"/>
      <w:b/>
      <w:sz w:val="56"/>
      <w:color w:val="172033"/>
    </w:rPr>
  </w:style>
  <w:style w:type="paragraph" w:styleId="Heading1">
    <w:name w:val="Heading 1"/>
    <w:pPr>
      <w:keepNext/>
      <w:spacing w:before="280" w:after="140"/>
    </w:pPr>
    <w:rPr>
      <w:rFonts w:ascii="Calibri" w:hAnsi="Calibri"/>
      <w:b/>
      <w:sz w:val="30"/>
      <w:color w:val="8A62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