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rPr>
          <w:rFonts w:ascii="Calibri" w:hAnsi="Calibri"/>
        </w:rPr>
        <w:t xml:space="preserve">Interest-Based Meeting Close</w:t>
      </w:r>
    </w:p>
    <w:p>
      <w:pPr>
        <w:spacing w:after="100"/>
      </w:pPr>
      <w:r>
        <w:rPr>
          <w:rFonts w:ascii="Calibri" w:hAnsi="Calibri"/>
          <w:b/>
          <w:sz w:val="18"/>
          <w:szCs w:val="18"/>
          <w:color w:val="6B7280"/>
        </w:rPr>
        <w:t xml:space="preserve">SCRIPT | SKILL: BOOKING | DIFFICULTY: INTERMEDIATE | EST. 7 MIN</w:t>
      </w:r>
    </w:p>
    <w:p>
      <w:pPr>
        <w:spacing w:before="40" w:after="160"/>
        <w:shd w:val="clear" w:color="auto" w:fill="EAF7EF"/>
        <w:ind w:left="160"/>
      </w:pPr>
      <w:r>
        <w:rPr>
          <w:rFonts w:ascii="Calibri" w:hAnsi="Calibri"/>
          <w:b/>
          <w:sz w:val="18"/>
          <w:szCs w:val="18"/>
          <w:color w:val="166534"/>
        </w:rPr>
        <w:t xml:space="preserve">Reviewed professional resource - AmplifyHub Practical Resource Library</w:t>
      </w:r>
    </w:p>
    <w:p>
      <w:pPr>
        <w:pStyle w:val="Heading1"/>
        <w:keepNext/>
      </w:pPr>
      <w:r>
        <w:rPr>
          <w:rFonts w:ascii="Calibri" w:hAnsi="Calibri"/>
        </w:rPr>
        <w:t xml:space="preserve">Overview</w:t>
      </w:r>
    </w:p>
    <w:p>
      <w:pPr>
        <w:spacing w:after="120" w:line="300" w:lineRule="auto"/>
      </w:pPr>
      <w:r>
        <w:rPr>
          <w:rFonts w:ascii="Calibri" w:hAnsi="Calibri"/>
          <w:sz w:val="22"/>
          <w:szCs w:val="22"/>
          <w:color w:val="283548"/>
        </w:rPr>
        <w:t xml:space="preserve">A way to ask for a meeting that checks for genuine interest first, ties the next step to something the prospect actually said, and offers two concrete times only after interest is real.</w:t>
      </w:r>
    </w:p>
    <w:p>
      <w:pPr>
        <w:pStyle w:val="Heading1"/>
        <w:keepNext/>
      </w:pPr>
      <w:r>
        <w:rPr>
          <w:rFonts w:ascii="Calibri" w:hAnsi="Calibri"/>
        </w:rPr>
        <w:t xml:space="preserve">Learning objectives</w:t>
      </w:r>
    </w:p>
    <w:p>
      <w:pPr>
        <w:numPr>
          <w:ilvl w:val="0"/>
          <w:numId w:val="1"/>
        </w:numPr>
        <w:spacing w:after="80" w:line="300" w:lineRule="auto"/>
      </w:pPr>
      <w:r>
        <w:rPr>
          <w:rFonts w:ascii="Calibri" w:hAnsi="Calibri"/>
          <w:sz w:val="22"/>
          <w:szCs w:val="22"/>
          <w:color w:val="283548"/>
        </w:rPr>
        <w:t xml:space="preserve">Confirm interest before asking for calendar time</w:t>
      </w:r>
    </w:p>
    <w:p>
      <w:pPr>
        <w:numPr>
          <w:ilvl w:val="0"/>
          <w:numId w:val="1"/>
        </w:numPr>
        <w:spacing w:after="80" w:line="300" w:lineRule="auto"/>
      </w:pPr>
      <w:r>
        <w:rPr>
          <w:rFonts w:ascii="Calibri" w:hAnsi="Calibri"/>
          <w:sz w:val="22"/>
          <w:szCs w:val="22"/>
          <w:color w:val="283548"/>
        </w:rPr>
        <w:t xml:space="preserve">Tie the meeting to a problem the prospect named</w:t>
      </w:r>
    </w:p>
    <w:p>
      <w:pPr>
        <w:numPr>
          <w:ilvl w:val="0"/>
          <w:numId w:val="1"/>
        </w:numPr>
        <w:spacing w:after="80" w:line="300" w:lineRule="auto"/>
      </w:pPr>
      <w:r>
        <w:rPr>
          <w:rFonts w:ascii="Calibri" w:hAnsi="Calibri"/>
          <w:sz w:val="22"/>
          <w:szCs w:val="22"/>
          <w:color w:val="283548"/>
        </w:rPr>
        <w:t xml:space="preserve">Offer two specific time options</w:t>
      </w:r>
    </w:p>
    <w:p>
      <w:pPr>
        <w:numPr>
          <w:ilvl w:val="0"/>
          <w:numId w:val="1"/>
        </w:numPr>
        <w:spacing w:after="80" w:line="300" w:lineRule="auto"/>
      </w:pPr>
      <w:r>
        <w:rPr>
          <w:rFonts w:ascii="Calibri" w:hAnsi="Calibri"/>
          <w:sz w:val="22"/>
          <w:szCs w:val="22"/>
          <w:color w:val="283548"/>
        </w:rPr>
        <w:t xml:space="preserve">State clearly what will happen in the meeting</w:t>
      </w:r>
    </w:p>
    <w:p>
      <w:pPr>
        <w:pStyle w:val="Heading1"/>
        <w:keepNext/>
      </w:pPr>
      <w:r>
        <w:rPr>
          <w:rFonts w:ascii="Calibri" w:hAnsi="Calibri"/>
        </w:rPr>
        <w:t xml:space="preserve">The close in four steps</w:t>
      </w:r>
    </w:p>
    <w:p>
      <w:pPr>
        <w:numPr>
          <w:ilvl w:val="0"/>
          <w:numId w:val="2"/>
        </w:numPr>
        <w:spacing w:after="80" w:line="300" w:lineRule="auto"/>
      </w:pPr>
      <w:r>
        <w:rPr>
          <w:rFonts w:ascii="Calibri" w:hAnsi="Calibri"/>
          <w:sz w:val="22"/>
          <w:szCs w:val="22"/>
          <w:color w:val="283548"/>
        </w:rPr>
        <w:t xml:space="preserve">Summarise the relevant thing they said in one sentence.</w:t>
      </w:r>
    </w:p>
    <w:p>
      <w:pPr>
        <w:numPr>
          <w:ilvl w:val="0"/>
          <w:numId w:val="2"/>
        </w:numPr>
        <w:spacing w:after="80" w:line="300" w:lineRule="auto"/>
      </w:pPr>
      <w:r>
        <w:rPr>
          <w:rFonts w:ascii="Calibri" w:hAnsi="Calibri"/>
          <w:sz w:val="22"/>
          <w:szCs w:val="22"/>
          <w:color w:val="283548"/>
        </w:rPr>
        <w:t xml:space="preserve">Ask an interest question: "Is that worth 20 minutes to look at properly?"</w:t>
      </w:r>
    </w:p>
    <w:p>
      <w:pPr>
        <w:numPr>
          <w:ilvl w:val="0"/>
          <w:numId w:val="2"/>
        </w:numPr>
        <w:spacing w:after="80" w:line="300" w:lineRule="auto"/>
      </w:pPr>
      <w:r>
        <w:rPr>
          <w:rFonts w:ascii="Calibri" w:hAnsi="Calibri"/>
          <w:sz w:val="22"/>
          <w:szCs w:val="22"/>
          <w:color w:val="283548"/>
        </w:rPr>
        <w:t xml:space="preserve">Only if yes, offer two specific times.</w:t>
      </w:r>
    </w:p>
    <w:p>
      <w:pPr>
        <w:numPr>
          <w:ilvl w:val="0"/>
          <w:numId w:val="2"/>
        </w:numPr>
        <w:spacing w:after="80" w:line="300" w:lineRule="auto"/>
      </w:pPr>
      <w:r>
        <w:rPr>
          <w:rFonts w:ascii="Calibri" w:hAnsi="Calibri"/>
          <w:sz w:val="22"/>
          <w:szCs w:val="22"/>
          <w:color w:val="283548"/>
        </w:rPr>
        <w:t xml:space="preserve">Confirm what the meeting will cover so there are no surprises.</w:t>
      </w:r>
    </w:p>
    <w:p>
      <w:pPr>
        <w:pStyle w:val="Heading1"/>
        <w:keepNext/>
      </w:pPr>
      <w:r>
        <w:rPr>
          <w:rFonts w:ascii="Calibri" w:hAnsi="Calibri"/>
        </w:rPr>
        <w:t xml:space="preserve">Interest checks that are not pushy</w:t>
      </w:r>
    </w:p>
    <w:p>
      <w:pPr>
        <w:numPr>
          <w:ilvl w:val="0"/>
          <w:numId w:val="1"/>
        </w:numPr>
        <w:spacing w:after="80" w:line="300" w:lineRule="auto"/>
      </w:pPr>
      <w:r>
        <w:rPr>
          <w:rFonts w:ascii="Calibri" w:hAnsi="Calibri"/>
          <w:sz w:val="22"/>
          <w:szCs w:val="22"/>
          <w:color w:val="283548"/>
        </w:rPr>
        <w:t xml:space="preserve">"Would it make sense to explore that further, or is it not a priority right now?"</w:t>
      </w:r>
    </w:p>
    <w:p>
      <w:pPr>
        <w:numPr>
          <w:ilvl w:val="0"/>
          <w:numId w:val="1"/>
        </w:numPr>
        <w:spacing w:after="80" w:line="300" w:lineRule="auto"/>
      </w:pPr>
      <w:r>
        <w:rPr>
          <w:rFonts w:ascii="Calibri" w:hAnsi="Calibri"/>
          <w:sz w:val="22"/>
          <w:szCs w:val="22"/>
          <w:color w:val="283548"/>
        </w:rPr>
        <w:t xml:space="preserve">"Is this worth a short follow-up, or should I leave it here?"</w:t>
      </w:r>
    </w:p>
    <w:p>
      <w:pPr>
        <w:numPr>
          <w:ilvl w:val="0"/>
          <w:numId w:val="1"/>
        </w:numPr>
        <w:spacing w:after="80" w:line="300" w:lineRule="auto"/>
      </w:pPr>
      <w:r>
        <w:rPr>
          <w:rFonts w:ascii="Calibri" w:hAnsi="Calibri"/>
          <w:sz w:val="22"/>
          <w:szCs w:val="22"/>
          <w:color w:val="283548"/>
        </w:rPr>
        <w:t xml:space="preserve">"Do you want me to put something together, or is now not the time?"</w:t>
      </w:r>
    </w:p>
    <w:p>
      <w:pPr>
        <w:pStyle w:val="Heading1"/>
        <w:keepNext/>
      </w:pPr>
      <w:r>
        <w:rPr>
          <w:rFonts w:ascii="Calibri" w:hAnsi="Calibri"/>
        </w:rPr>
        <w:t xml:space="preserve">Professional standard</w:t>
      </w:r>
    </w:p>
    <w:p>
      <w:pPr>
        <w:spacing w:after="120" w:line="300" w:lineRule="auto"/>
      </w:pPr>
      <w:r>
        <w:rPr>
          <w:rFonts w:ascii="Calibri" w:hAnsi="Calibri"/>
          <w:sz w:val="22"/>
          <w:szCs w:val="22"/>
          <w:color w:val="283548"/>
        </w:rPr>
        <w:t xml:space="preserve">A high-quality meeting is a mutually understood next step with a clear purpose, the right people, and realistic timing. Booking volume is not useful when the attendee does not understand why the meeting exists.</w:t>
      </w:r>
    </w:p>
    <w:p>
      <w:pPr>
        <w:pStyle w:val="Heading1"/>
        <w:keepNext/>
      </w:pPr>
      <w:r>
        <w:rPr>
          <w:rFonts w:ascii="Calibri" w:hAnsi="Calibri"/>
        </w:rPr>
        <w:t xml:space="preserve">Professional workflow</w:t>
      </w:r>
    </w:p>
    <w:p>
      <w:pPr>
        <w:numPr>
          <w:ilvl w:val="0"/>
          <w:numId w:val="2"/>
        </w:numPr>
        <w:spacing w:after="80" w:line="300" w:lineRule="auto"/>
      </w:pPr>
      <w:r>
        <w:rPr>
          <w:rFonts w:ascii="Calibri" w:hAnsi="Calibri"/>
          <w:sz w:val="22"/>
          <w:szCs w:val="22"/>
          <w:color w:val="283548"/>
        </w:rPr>
        <w:t xml:space="preserve">Research the account and role before editing the script. Record one observable business signal, one plausible problem to test, and the source that supports the signal.</w:t>
      </w:r>
    </w:p>
    <w:p>
      <w:pPr>
        <w:numPr>
          <w:ilvl w:val="0"/>
          <w:numId w:val="2"/>
        </w:numPr>
        <w:spacing w:after="80" w:line="300" w:lineRule="auto"/>
      </w:pPr>
      <w:r>
        <w:rPr>
          <w:rFonts w:ascii="Calibri" w:hAnsi="Calibri"/>
          <w:sz w:val="22"/>
          <w:szCs w:val="22"/>
          <w:color w:val="283548"/>
        </w:rPr>
        <w:t xml:space="preserve">Replace every bracketed placeholder with plain language you would genuinely use. Remove claims, customer names, statistics, and urgency that you cannot verify.</w:t>
      </w:r>
    </w:p>
    <w:p>
      <w:pPr>
        <w:numPr>
          <w:ilvl w:val="0"/>
          <w:numId w:val="2"/>
        </w:numPr>
        <w:spacing w:after="80" w:line="300" w:lineRule="auto"/>
      </w:pPr>
      <w:r>
        <w:rPr>
          <w:rFonts w:ascii="Calibri" w:hAnsi="Calibri"/>
          <w:sz w:val="22"/>
          <w:szCs w:val="22"/>
          <w:color w:val="283548"/>
        </w:rPr>
        <w:t xml:space="preserve">Read the script aloud at normal speed. Shorten any sentence that forces you to rush, breathe in the middle, or sound as if you are reading.</w:t>
      </w:r>
    </w:p>
    <w:p>
      <w:pPr>
        <w:numPr>
          <w:ilvl w:val="0"/>
          <w:numId w:val="2"/>
        </w:numPr>
        <w:spacing w:after="80" w:line="300" w:lineRule="auto"/>
      </w:pPr>
      <w:r>
        <w:rPr>
          <w:rFonts w:ascii="Calibri" w:hAnsi="Calibri"/>
          <w:sz w:val="22"/>
          <w:szCs w:val="22"/>
          <w:color w:val="283548"/>
        </w:rPr>
        <w:t xml:space="preserve">Practise three variations: the intended flow, an early interruption, and a clear no. The goal is calm adaptation, not perfect memorisation.</w:t>
      </w:r>
    </w:p>
    <w:p>
      <w:pPr>
        <w:numPr>
          <w:ilvl w:val="0"/>
          <w:numId w:val="2"/>
        </w:numPr>
        <w:spacing w:after="80" w:line="300" w:lineRule="auto"/>
      </w:pPr>
      <w:r>
        <w:rPr>
          <w:rFonts w:ascii="Calibri" w:hAnsi="Calibri"/>
          <w:sz w:val="22"/>
          <w:szCs w:val="22"/>
          <w:color w:val="283548"/>
        </w:rPr>
        <w:t xml:space="preserve">After use, record only the outcome category and one learning point. Adjust one line at a time so you know which change improved clarity or relevance.</w:t>
      </w:r>
    </w:p>
    <w:p>
      <w:pPr>
        <w:pStyle w:val="Heading1"/>
        <w:keepNext/>
      </w:pPr>
      <w:r>
        <w:rPr>
          <w:rFonts w:ascii="Calibri" w:hAnsi="Calibri"/>
        </w:rPr>
        <w:t xml:space="preserve">Quality-control review</w:t>
      </w:r>
    </w:p>
    <w:tbl>
      <w:tblPr>
        <w:tblW w:w="9360" w:type="dxa"/>
        <w:tblInd w:w="120" w:type="dxa"/>
        <w:tblLayout w:type="fixed"/>
        <w:tblCellMar>
          <w:top w:w="100" w:type="dxa"/>
          <w:left w:w="120" w:type="dxa"/>
          <w:bottom w:w="100" w:type="dxa"/>
          <w:right w:w="120" w:type="dxa"/>
        </w:tblCellMar>
        <w:tblBorders>
          <w:top w:val="single" w:sz="4" w:color="D9DEE7"/>
          <w:left w:val="single" w:sz="4" w:color="D9DEE7"/>
          <w:bottom w:val="single" w:sz="4" w:color="D9DEE7"/>
          <w:right w:val="single" w:sz="4" w:color="D9DEE7"/>
          <w:insideH w:val="single" w:sz="4" w:color="D9DEE7"/>
          <w:insideV w:val="single" w:sz="4" w:color="D9DEE7"/>
        </w:tblBorders>
      </w:tblPr>
      <w:tblGrid>
        <w:gridCol w:w="1200"/>
        <w:gridCol w:w="4118"/>
        <w:gridCol w:w="4042"/>
      </w:tblGrid>
      <w:tr>
        <w:trPr>
          <w:tblHeader/>
        </w:trPr>
        <w:tc>
          <w:tcPr>
            <w:tcW w:w="1200" w:type="dxa"/>
            <w:vAlign w:val="center"/>
            <w:shd w:val="clear" w:color="auto" w:fill="FFF3C4"/>
          </w:tcPr>
          <w:p>
            <w:pPr>
              <w:spacing w:after="40" w:line="280" w:lineRule="auto"/>
            </w:pPr>
            <w:r>
              <w:rPr>
                <w:rFonts w:ascii="Calibri" w:hAnsi="Calibri"/>
                <w:b/>
                <w:sz w:val="19"/>
                <w:szCs w:val="19"/>
                <w:color w:val="6B4F00"/>
              </w:rPr>
              <w:t xml:space="preserve">Review point</w:t>
            </w:r>
          </w:p>
        </w:tc>
        <w:tc>
          <w:tcPr>
            <w:tcW w:w="4118" w:type="dxa"/>
            <w:vAlign w:val="center"/>
            <w:shd w:val="clear" w:color="auto" w:fill="FFF3C4"/>
          </w:tcPr>
          <w:p>
            <w:pPr>
              <w:spacing w:after="40" w:line="280" w:lineRule="auto"/>
            </w:pPr>
            <w:r>
              <w:rPr>
                <w:rFonts w:ascii="Calibri" w:hAnsi="Calibri"/>
                <w:b/>
                <w:sz w:val="19"/>
                <w:szCs w:val="19"/>
                <w:color w:val="6B4F00"/>
              </w:rPr>
              <w:t xml:space="preserve">Professional standard</w:t>
            </w:r>
          </w:p>
        </w:tc>
        <w:tc>
          <w:tcPr>
            <w:tcW w:w="4042" w:type="dxa"/>
            <w:vAlign w:val="center"/>
            <w:shd w:val="clear" w:color="auto" w:fill="FFF3C4"/>
          </w:tcPr>
          <w:p>
            <w:pPr>
              <w:spacing w:after="40" w:line="280" w:lineRule="auto"/>
            </w:pPr>
            <w:r>
              <w:rPr>
                <w:rFonts w:ascii="Calibri" w:hAnsi="Calibri"/>
                <w:b/>
                <w:sz w:val="19"/>
                <w:szCs w:val="19"/>
                <w:color w:val="6B4F00"/>
              </w:rPr>
              <w:t xml:space="preserve">Warning sign</w:t>
            </w:r>
          </w:p>
        </w:tc>
      </w:tr>
      <w:tr>
        <w:tc>
          <w:tcPr>
            <w:tcW w:w="1200" w:type="dxa"/>
            <w:vAlign w:val="center"/>
          </w:tcPr>
          <w:p>
            <w:pPr>
              <w:spacing w:after="40" w:line="280" w:lineRule="auto"/>
            </w:pPr>
            <w:r>
              <w:rPr>
                <w:rFonts w:ascii="Calibri" w:hAnsi="Calibri"/>
                <w:sz w:val="19"/>
                <w:szCs w:val="19"/>
                <w:color w:val="283548"/>
              </w:rPr>
              <w:t xml:space="preserve">Interest</w:t>
            </w:r>
          </w:p>
        </w:tc>
        <w:tc>
          <w:tcPr>
            <w:tcW w:w="4118" w:type="dxa"/>
            <w:vAlign w:val="center"/>
          </w:tcPr>
          <w:p>
            <w:pPr>
              <w:spacing w:after="40" w:line="280" w:lineRule="auto"/>
            </w:pPr>
            <w:r>
              <w:rPr>
                <w:rFonts w:ascii="Calibri" w:hAnsi="Calibri"/>
                <w:sz w:val="19"/>
                <w:szCs w:val="19"/>
                <w:color w:val="283548"/>
              </w:rPr>
              <w:t xml:space="preserve">The prospect has confirmed a relevant reason to continue.</w:t>
            </w:r>
          </w:p>
        </w:tc>
        <w:tc>
          <w:tcPr>
            <w:tcW w:w="4042" w:type="dxa"/>
            <w:vAlign w:val="center"/>
          </w:tcPr>
          <w:p>
            <w:pPr>
              <w:spacing w:after="40" w:line="280" w:lineRule="auto"/>
            </w:pPr>
            <w:r>
              <w:rPr>
                <w:rFonts w:ascii="Calibri" w:hAnsi="Calibri"/>
                <w:sz w:val="19"/>
                <w:szCs w:val="19"/>
                <w:color w:val="283548"/>
              </w:rPr>
              <w:t xml:space="preserve">Calendar options are offered before interest is established.</w:t>
            </w:r>
          </w:p>
        </w:tc>
      </w:tr>
      <w:tr>
        <w:tc>
          <w:tcPr>
            <w:tcW w:w="1200" w:type="dxa"/>
            <w:vAlign w:val="center"/>
          </w:tcPr>
          <w:p>
            <w:pPr>
              <w:spacing w:after="40" w:line="280" w:lineRule="auto"/>
            </w:pPr>
            <w:r>
              <w:rPr>
                <w:rFonts w:ascii="Calibri" w:hAnsi="Calibri"/>
                <w:sz w:val="19"/>
                <w:szCs w:val="19"/>
                <w:color w:val="283548"/>
              </w:rPr>
              <w:t xml:space="preserve">Purpose</w:t>
            </w:r>
          </w:p>
        </w:tc>
        <w:tc>
          <w:tcPr>
            <w:tcW w:w="4118" w:type="dxa"/>
            <w:vAlign w:val="center"/>
          </w:tcPr>
          <w:p>
            <w:pPr>
              <w:spacing w:after="40" w:line="280" w:lineRule="auto"/>
            </w:pPr>
            <w:r>
              <w:rPr>
                <w:rFonts w:ascii="Calibri" w:hAnsi="Calibri"/>
                <w:sz w:val="19"/>
                <w:szCs w:val="19"/>
                <w:color w:val="283548"/>
              </w:rPr>
              <w:t xml:space="preserve">The invite states the decision, problem, or question the meeting will cover.</w:t>
            </w:r>
          </w:p>
        </w:tc>
        <w:tc>
          <w:tcPr>
            <w:tcW w:w="4042" w:type="dxa"/>
            <w:vAlign w:val="center"/>
          </w:tcPr>
          <w:p>
            <w:pPr>
              <w:spacing w:after="40" w:line="280" w:lineRule="auto"/>
            </w:pPr>
            <w:r>
              <w:rPr>
                <w:rFonts w:ascii="Calibri" w:hAnsi="Calibri"/>
                <w:sz w:val="19"/>
                <w:szCs w:val="19"/>
                <w:color w:val="283548"/>
              </w:rPr>
              <w:t xml:space="preserve">The invite uses vague language such as quick chat or touch base.</w:t>
            </w:r>
          </w:p>
        </w:tc>
      </w:tr>
      <w:tr>
        <w:tc>
          <w:tcPr>
            <w:tcW w:w="1200" w:type="dxa"/>
            <w:vAlign w:val="center"/>
          </w:tcPr>
          <w:p>
            <w:pPr>
              <w:spacing w:after="40" w:line="280" w:lineRule="auto"/>
            </w:pPr>
            <w:r>
              <w:rPr>
                <w:rFonts w:ascii="Calibri" w:hAnsi="Calibri"/>
                <w:sz w:val="19"/>
                <w:szCs w:val="19"/>
                <w:color w:val="283548"/>
              </w:rPr>
              <w:t xml:space="preserve">Logistics</w:t>
            </w:r>
          </w:p>
        </w:tc>
        <w:tc>
          <w:tcPr>
            <w:tcW w:w="4118" w:type="dxa"/>
            <w:vAlign w:val="center"/>
          </w:tcPr>
          <w:p>
            <w:pPr>
              <w:spacing w:after="40" w:line="280" w:lineRule="auto"/>
            </w:pPr>
            <w:r>
              <w:rPr>
                <w:rFonts w:ascii="Calibri" w:hAnsi="Calibri"/>
                <w:sz w:val="19"/>
                <w:szCs w:val="19"/>
                <w:color w:val="283548"/>
              </w:rPr>
              <w:t xml:space="preserve">Date, time zone, duration, attendees, and joining details are correct.</w:t>
            </w:r>
          </w:p>
        </w:tc>
        <w:tc>
          <w:tcPr>
            <w:tcW w:w="4042" w:type="dxa"/>
            <w:vAlign w:val="center"/>
          </w:tcPr>
          <w:p>
            <w:pPr>
              <w:spacing w:after="40" w:line="280" w:lineRule="auto"/>
            </w:pPr>
            <w:r>
              <w:rPr>
                <w:rFonts w:ascii="Calibri" w:hAnsi="Calibri"/>
                <w:sz w:val="19"/>
                <w:szCs w:val="19"/>
                <w:color w:val="283548"/>
              </w:rPr>
              <w:t xml:space="preserve">Important details are missing or left to assumption.</w:t>
            </w:r>
          </w:p>
        </w:tc>
      </w:tr>
      <w:tr>
        <w:tc>
          <w:tcPr>
            <w:tcW w:w="1200" w:type="dxa"/>
            <w:vAlign w:val="center"/>
          </w:tcPr>
          <w:p>
            <w:pPr>
              <w:spacing w:after="40" w:line="280" w:lineRule="auto"/>
            </w:pPr>
            <w:r>
              <w:rPr>
                <w:rFonts w:ascii="Calibri" w:hAnsi="Calibri"/>
                <w:sz w:val="19"/>
                <w:szCs w:val="19"/>
                <w:color w:val="283548"/>
              </w:rPr>
              <w:t xml:space="preserve">Commitment</w:t>
            </w:r>
          </w:p>
        </w:tc>
        <w:tc>
          <w:tcPr>
            <w:tcW w:w="4118" w:type="dxa"/>
            <w:vAlign w:val="center"/>
          </w:tcPr>
          <w:p>
            <w:pPr>
              <w:spacing w:after="40" w:line="280" w:lineRule="auto"/>
            </w:pPr>
            <w:r>
              <w:rPr>
                <w:rFonts w:ascii="Calibri" w:hAnsi="Calibri"/>
                <w:sz w:val="19"/>
                <w:szCs w:val="19"/>
                <w:color w:val="283548"/>
              </w:rPr>
              <w:t xml:space="preserve">Rescheduling and declining are easy and pressure-free.</w:t>
            </w:r>
          </w:p>
        </w:tc>
        <w:tc>
          <w:tcPr>
            <w:tcW w:w="4042" w:type="dxa"/>
            <w:vAlign w:val="center"/>
          </w:tcPr>
          <w:p>
            <w:pPr>
              <w:spacing w:after="40" w:line="280" w:lineRule="auto"/>
            </w:pPr>
            <w:r>
              <w:rPr>
                <w:rFonts w:ascii="Calibri" w:hAnsi="Calibri"/>
                <w:sz w:val="19"/>
                <w:szCs w:val="19"/>
                <w:color w:val="283548"/>
              </w:rPr>
              <w:t xml:space="preserve">Confirmation language implies the attendee owes you the meeting.</w:t>
            </w:r>
          </w:p>
        </w:tc>
      </w:tr>
    </w:tbl>
    <w:p>
      <w:pPr>
        <w:spacing w:after="80"/>
      </w:pPr>
      <w:r>
        <w:rPr>
          <w:rFonts w:ascii="Calibri" w:hAnsi="Calibri"/>
        </w:rPr>
        <w:t xml:space="preserve"/>
      </w:r>
    </w:p>
    <w:p>
      <w:pPr>
        <w:pStyle w:val="Heading1"/>
        <w:keepNext/>
      </w:pPr>
      <w:r>
        <w:rPr>
          <w:rFonts w:ascii="Calibri" w:hAnsi="Calibri"/>
        </w:rPr>
        <w:t xml:space="preserve">Evidence and improvement signals</w:t>
      </w:r>
    </w:p>
    <w:p>
      <w:pPr>
        <w:numPr>
          <w:ilvl w:val="0"/>
          <w:numId w:val="1"/>
        </w:numPr>
        <w:spacing w:after="80" w:line="300" w:lineRule="auto"/>
      </w:pPr>
      <w:r>
        <w:rPr>
          <w:rFonts w:ascii="Calibri" w:hAnsi="Calibri"/>
          <w:sz w:val="22"/>
          <w:szCs w:val="22"/>
          <w:color w:val="283548"/>
        </w:rPr>
        <w:t xml:space="preserve">Compare meetings booked with meetings attended and meetings that reached the stated purpose.</w:t>
      </w:r>
    </w:p>
    <w:p>
      <w:pPr>
        <w:numPr>
          <w:ilvl w:val="0"/>
          <w:numId w:val="1"/>
        </w:numPr>
        <w:spacing w:after="80" w:line="300" w:lineRule="auto"/>
      </w:pPr>
      <w:r>
        <w:rPr>
          <w:rFonts w:ascii="Calibri" w:hAnsi="Calibri"/>
          <w:sz w:val="22"/>
          <w:szCs w:val="22"/>
          <w:color w:val="283548"/>
        </w:rPr>
        <w:t xml:space="preserve">Record the most common reason for rescheduling or no-show without blaming the prospect.</w:t>
      </w:r>
    </w:p>
    <w:p>
      <w:pPr>
        <w:numPr>
          <w:ilvl w:val="0"/>
          <w:numId w:val="1"/>
        </w:numPr>
        <w:spacing w:after="80" w:line="300" w:lineRule="auto"/>
      </w:pPr>
      <w:r>
        <w:rPr>
          <w:rFonts w:ascii="Calibri" w:hAnsi="Calibri"/>
          <w:sz w:val="22"/>
          <w:szCs w:val="22"/>
          <w:color w:val="283548"/>
        </w:rPr>
        <w:t xml:space="preserve">Review whether the calendar description matches what was promised in the conversation.</w:t>
      </w:r>
    </w:p>
    <w:p>
      <w:pPr>
        <w:numPr>
          <w:ilvl w:val="0"/>
          <w:numId w:val="1"/>
        </w:numPr>
        <w:spacing w:after="80" w:line="300" w:lineRule="auto"/>
      </w:pPr>
      <w:r>
        <w:rPr>
          <w:rFonts w:ascii="Calibri" w:hAnsi="Calibri"/>
          <w:sz w:val="22"/>
          <w:szCs w:val="22"/>
          <w:color w:val="283548"/>
        </w:rPr>
        <w:t xml:space="preserve">Improve qualification and meeting purpose before increasing reminder frequency.</w:t>
      </w:r>
    </w:p>
    <w:p>
      <w:pPr>
        <w:pStyle w:val="Heading1"/>
        <w:keepNext/>
      </w:pPr>
      <w:r>
        <w:rPr>
          <w:rFonts w:ascii="Calibri" w:hAnsi="Calibri"/>
        </w:rPr>
        <w:t xml:space="preserve">Worked example</w:t>
      </w:r>
    </w:p>
    <w:p>
      <w:pPr>
        <w:spacing w:after="120" w:line="300" w:lineRule="auto"/>
      </w:pPr>
      <w:r>
        <w:rPr>
          <w:rFonts w:ascii="Calibri" w:hAnsi="Calibri"/>
          <w:sz w:val="22"/>
          <w:szCs w:val="22"/>
          <w:color w:val="283548"/>
        </w:rPr>
        <w:t xml:space="preserve">"You mentioned weekend coverage is where tickets slip. Would it be worth 20 minutes to look at that properly — or is it not a priority right now? … Great. Would Tuesday afternoon or Wednesday morning suit you better? I will keep it focused on the coverage question, and you can decide whether it is worth going further."</w:t>
      </w:r>
    </w:p>
    <w:p>
      <w:pPr>
        <w:pStyle w:val="Heading1"/>
        <w:keepNext/>
      </w:pPr>
      <w:r>
        <w:rPr>
          <w:rFonts w:ascii="Calibri" w:hAnsi="Calibri"/>
        </w:rPr>
        <w:t xml:space="preserve">Safe-practice note</w:t>
      </w:r>
    </w:p>
    <w:p>
      <w:pPr>
        <w:spacing w:after="120" w:line="300" w:lineRule="auto"/>
      </w:pPr>
      <w:r>
        <w:rPr>
          <w:rFonts w:ascii="Calibri" w:hAnsi="Calibri"/>
          <w:sz w:val="22"/>
          <w:szCs w:val="22"/>
          <w:color w:val="283548"/>
        </w:rPr>
        <w:t xml:space="preserve">Ask for interest before logistics; pressuring for a calendar slot after a soft no damages trust. Do not promise outcomes you cannot guarantee, and never cite customers, results, or "similar teams" you do not actually have. If they are not interested, thank them and leave the door open without pushing.</w:t>
      </w:r>
    </w:p>
    <w:p>
      <w:pPr>
        <w:spacing w:before="240" w:after="40"/>
      </w:pPr>
      <w:r>
        <w:rPr>
          <w:rFonts w:ascii="Calibri" w:hAnsi="Calibri"/>
          <w:sz w:val="17"/>
          <w:szCs w:val="17"/>
          <w:color w:val="7B8494"/>
        </w:rPr>
        <w:t xml:space="preserve">Last reviewed: 2026-07-28 | AmplifyHub Practical Resource Library</w:t>
      </w:r>
    </w:p>
    <w:sectPr>
      <w:headerReference w:type="default" r:id="rId3"/>
      <w:footerReference w:type="default" r:id="rId4"/>
      <w:pgSz w:w="12240" w:h="15840"/>
      <w:pgMar w:top="1440" w:right="1440" w:bottom="1440" w:left="1440" w:header="708" w:footer="708" w:gutter="0"/>
    </w:sectPr>
  </w:body>
</w:document>
</file>

<file path=word/footer1.xml><?xml version="1.0" encoding="utf-8"?>
<w:ftr xmlns:w="http://schemas.openxmlformats.org/wordprocessingml/2006/main">
  <w:p>
    <w:pPr>
      <w:jc w:val="right"/>
    </w:pPr>
    <w:r>
      <w:rPr>
        <w:color w:val="7B8494"/>
        <w:sz w:val="16"/>
      </w:rPr>
      <w:t>AmplifyHub  |  Page </w:t>
    </w:r>
    <w:fldSimple w:instr="PAGE">
      <w:r>
        <w:rPr>
          <w:color w:val="7B8494"/>
          <w:sz w:val="16"/>
        </w:rPr>
        <w:t>1</w:t>
      </w:r>
    </w:fldSimple>
  </w:p>
</w:ftr>
</file>

<file path=word/header1.xml><?xml version="1.0" encoding="utf-8"?>
<w:hdr xmlns:w="http://schemas.openxmlformats.org/wordprocessingml/2006/main">
  <w:p>
    <w:pPr>
      <w:spacing w:after="40"/>
    </w:pPr>
    <w:r>
      <w:rPr>
        <w:rFonts w:ascii="Calibri" w:hAnsi="Calibri"/>
        <w:b/>
        <w:sz w:val="16"/>
        <w:szCs w:val="16"/>
        <w:color w:val="8A6200"/>
      </w:rPr>
      <w:t xml:space="preserve">AMPLIFYHUB  |  PRACTICAL RESOURCE LIBRARY</w:t>
    </w:r>
  </w:p>
</w:hdr>
</file>

<file path=word/numbering.xml><?xml version="1.0" encoding="utf-8"?>
<w:numbering xmlns:w="http://schemas.openxmlformats.org/wordprocessingml/2006/main">
  <w:abstractNum w:abstractNumId="0">
    <w:multiLevelType w:val="singleLevel"/>
    <w:lvl w:ilvl="0">
      <w:start w:val="1"/>
      <w:numFmt w:val="bullet"/>
      <w:lvlText w:val="•"/>
      <w:lvlJc w:val="left"/>
      <w:pPr>
        <w:tabs>
          <w:tab w:val="num" w:pos="540"/>
        </w:tabs>
        <w:ind w:left="540" w:hanging="270"/>
        <w:spacing w:after="80" w:line="300" w:lineRule="auto"/>
      </w:pPr>
      <w:rPr>
        <w:rFonts w:ascii="Calibri" w:hAnsi="Calibri"/>
      </w:rPr>
    </w:lvl>
  </w:abstractNum>
  <w:abstractNum w:abstractNumId="1">
    <w:multiLevelType w:val="singleLevel"/>
    <w:lvl w:ilvl="0">
      <w:start w:val="1"/>
      <w:numFmt w:val="decimal"/>
      <w:lvlText w:val="%1."/>
      <w:lvlJc w:val="left"/>
      <w:pPr>
        <w:tabs>
          <w:tab w:val="num" w:pos="540"/>
        </w:tabs>
        <w:ind w:left="540" w:hanging="270"/>
        <w:spacing w:after="80" w:line="300" w:lineRule="auto"/>
      </w:pPr>
    </w:lvl>
  </w:abstractNum>
  <w:num w:numId="1">
    <w:abstractNumId w:val="0"/>
  </w:num>
  <w:num w:numId="2">
    <w:abstractNumId w:val="1"/>
  </w:num>
</w:numbering>
</file>

<file path=word/styles.xml><?xml version="1.0" encoding="utf-8"?>
<w:styles xmlns:w="http://schemas.openxmlformats.org/wordprocessingml/2006/main">
  <w:docDefaults>
    <w:rPrDefault>
      <w:rPr>
        <w:rFonts w:ascii="Calibri" w:hAnsi="Calibri"/>
        <w:sz w:val="22"/>
      </w:rPr>
    </w:rPrDefault>
    <w:pPrDefault>
      <w:pPr>
        <w:spacing w:after="120" w:line="300" w:lineRule="auto"/>
      </w:pPr>
    </w:pPrDefault>
  </w:docDefaults>
  <w:style w:type="paragraph" w:default="1" w:styleId="Normal">
    <w:name w:val="Normal"/>
    <w:pPr>
      <w:spacing w:after="120" w:line="300" w:lineRule="auto"/>
    </w:pPr>
    <w:rPr>
      <w:rFonts w:ascii="Calibri" w:hAnsi="Calibri"/>
      <w:sz w:val="22"/>
      <w:color w:val="283548"/>
    </w:rPr>
  </w:style>
  <w:style w:type="paragraph" w:styleId="Title">
    <w:name w:val="Title"/>
    <w:pPr>
      <w:keepNext/>
      <w:spacing w:after="120"/>
    </w:pPr>
    <w:rPr>
      <w:rFonts w:ascii="Calibri" w:hAnsi="Calibri"/>
      <w:b/>
      <w:sz w:val="56"/>
      <w:color w:val="172033"/>
    </w:rPr>
  </w:style>
  <w:style w:type="paragraph" w:styleId="Heading1">
    <w:name w:val="Heading 1"/>
    <w:pPr>
      <w:keepNext/>
      <w:spacing w:before="280" w:after="140"/>
    </w:pPr>
    <w:rPr>
      <w:rFonts w:ascii="Calibri" w:hAnsi="Calibri"/>
      <w:b/>
      <w:sz w:val="30"/>
      <w:color w:val="8A6200"/>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eader" Target="header1.xml"/><Relationship Id="rId4" Type="http://schemas.openxmlformats.org/officeDocument/2006/relationships/footer" Target="footer1.xml"/></Relationships>
</file>