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rPr>
        <w:t xml:space="preserve">Holding Steady on a Price Objection</w:t>
      </w:r>
    </w:p>
    <w:p>
      <w:pPr>
        <w:spacing w:after="100"/>
      </w:pPr>
      <w:r>
        <w:rPr>
          <w:rFonts w:ascii="Calibri" w:hAnsi="Calibri"/>
          <w:b/>
          <w:sz w:val="18"/>
          <w:szCs w:val="18"/>
          <w:color w:val="6B7280"/>
        </w:rPr>
        <w:t xml:space="preserve">SCRIPT | SKILL: OBJECTIONS | DIFFICULTY: ADVANCED | EST. 9 MIN</w:t>
      </w:r>
    </w:p>
    <w:p>
      <w:pPr>
        <w:spacing w:before="40" w:after="160"/>
        <w:shd w:val="clear" w:color="auto" w:fill="EAF7EF"/>
        <w:ind w:left="160"/>
      </w:pPr>
      <w:r>
        <w:rPr>
          <w:rFonts w:ascii="Calibri" w:hAnsi="Calibri"/>
          <w:b/>
          <w:sz w:val="18"/>
          <w:szCs w:val="18"/>
          <w:color w:val="166534"/>
        </w:rPr>
        <w:t xml:space="preserve">Reviewed professional resource - AmplifyHub Practical Resource Library</w:t>
      </w:r>
    </w:p>
    <w:p>
      <w:pPr>
        <w:pStyle w:val="Heading1"/>
        <w:keepNext/>
      </w:pPr>
      <w:r>
        <w:rPr>
          <w:rFonts w:ascii="Calibri" w:hAnsi="Calibri"/>
        </w:rPr>
        <w:t xml:space="preserve">Overview</w:t>
      </w:r>
    </w:p>
    <w:p>
      <w:pPr>
        <w:spacing w:after="120" w:line="300" w:lineRule="auto"/>
      </w:pPr>
      <w:r>
        <w:rPr>
          <w:rFonts w:ascii="Calibri" w:hAnsi="Calibri"/>
          <w:sz w:val="22"/>
          <w:szCs w:val="22"/>
          <w:color w:val="283548"/>
        </w:rPr>
        <w:t xml:space="preserve">A response to "it is too expensive" that stays calm, understands what is behind the concern, and reconnects price to value honestly — without discounting on reflex or overpromising.</w:t>
      </w:r>
    </w:p>
    <w:p>
      <w:pPr>
        <w:pStyle w:val="Heading1"/>
        <w:keepNext/>
      </w:pPr>
      <w:r>
        <w:rPr>
          <w:rFonts w:ascii="Calibri" w:hAnsi="Calibri"/>
        </w:rPr>
        <w:t xml:space="preserve">Learning objectives</w:t>
      </w:r>
    </w:p>
    <w:p>
      <w:pPr>
        <w:numPr>
          <w:ilvl w:val="0"/>
          <w:numId w:val="1"/>
        </w:numPr>
        <w:spacing w:after="80" w:line="300" w:lineRule="auto"/>
      </w:pPr>
      <w:r>
        <w:rPr>
          <w:rFonts w:ascii="Calibri" w:hAnsi="Calibri"/>
          <w:sz w:val="22"/>
          <w:szCs w:val="22"/>
          <w:color w:val="283548"/>
        </w:rPr>
        <w:t xml:space="preserve">Acknowledge the price concern without panic</w:t>
      </w:r>
    </w:p>
    <w:p>
      <w:pPr>
        <w:numPr>
          <w:ilvl w:val="0"/>
          <w:numId w:val="1"/>
        </w:numPr>
        <w:spacing w:after="80" w:line="300" w:lineRule="auto"/>
      </w:pPr>
      <w:r>
        <w:rPr>
          <w:rFonts w:ascii="Calibri" w:hAnsi="Calibri"/>
          <w:sz w:val="22"/>
          <w:szCs w:val="22"/>
          <w:color w:val="283548"/>
        </w:rPr>
        <w:t xml:space="preserve">Find out what "too expensive" actually means</w:t>
      </w:r>
    </w:p>
    <w:p>
      <w:pPr>
        <w:numPr>
          <w:ilvl w:val="0"/>
          <w:numId w:val="1"/>
        </w:numPr>
        <w:spacing w:after="80" w:line="300" w:lineRule="auto"/>
      </w:pPr>
      <w:r>
        <w:rPr>
          <w:rFonts w:ascii="Calibri" w:hAnsi="Calibri"/>
          <w:sz w:val="22"/>
          <w:szCs w:val="22"/>
          <w:color w:val="283548"/>
        </w:rPr>
        <w:t xml:space="preserve">Reconnect cost to value the prospect named</w:t>
      </w:r>
    </w:p>
    <w:p>
      <w:pPr>
        <w:numPr>
          <w:ilvl w:val="0"/>
          <w:numId w:val="1"/>
        </w:numPr>
        <w:spacing w:after="80" w:line="300" w:lineRule="auto"/>
      </w:pPr>
      <w:r>
        <w:rPr>
          <w:rFonts w:ascii="Calibri" w:hAnsi="Calibri"/>
          <w:sz w:val="22"/>
          <w:szCs w:val="22"/>
          <w:color w:val="283548"/>
        </w:rPr>
        <w:t xml:space="preserve">Hold your price honestly, or say you cannot help</w:t>
      </w:r>
    </w:p>
    <w:p>
      <w:pPr>
        <w:pStyle w:val="Heading1"/>
        <w:keepNext/>
      </w:pPr>
      <w:r>
        <w:rPr>
          <w:rFonts w:ascii="Calibri" w:hAnsi="Calibri"/>
        </w:rPr>
        <w:t xml:space="preserve">What "too expensive" can mean</w:t>
      </w:r>
    </w:p>
    <w:p>
      <w:pPr>
        <w:numPr>
          <w:ilvl w:val="0"/>
          <w:numId w:val="1"/>
        </w:numPr>
        <w:spacing w:after="80" w:line="300" w:lineRule="auto"/>
      </w:pPr>
      <w:r>
        <w:rPr>
          <w:rFonts w:ascii="Calibri" w:hAnsi="Calibri"/>
          <w:sz w:val="22"/>
          <w:szCs w:val="22"/>
          <w:color w:val="283548"/>
        </w:rPr>
        <w:t xml:space="preserve">Compared to a competitor or their current tool.</w:t>
      </w:r>
    </w:p>
    <w:p>
      <w:pPr>
        <w:numPr>
          <w:ilvl w:val="0"/>
          <w:numId w:val="1"/>
        </w:numPr>
        <w:spacing w:after="80" w:line="300" w:lineRule="auto"/>
      </w:pPr>
      <w:r>
        <w:rPr>
          <w:rFonts w:ascii="Calibri" w:hAnsi="Calibri"/>
          <w:sz w:val="22"/>
          <w:szCs w:val="22"/>
          <w:color w:val="283548"/>
        </w:rPr>
        <w:t xml:space="preserve">More than the budget they have this quarter.</w:t>
      </w:r>
    </w:p>
    <w:p>
      <w:pPr>
        <w:numPr>
          <w:ilvl w:val="0"/>
          <w:numId w:val="1"/>
        </w:numPr>
        <w:spacing w:after="80" w:line="300" w:lineRule="auto"/>
      </w:pPr>
      <w:r>
        <w:rPr>
          <w:rFonts w:ascii="Calibri" w:hAnsi="Calibri"/>
          <w:sz w:val="22"/>
          <w:szCs w:val="22"/>
          <w:color w:val="283548"/>
        </w:rPr>
        <w:t xml:space="preserve">They are not yet convinced the value is worth it.</w:t>
      </w:r>
    </w:p>
    <w:p>
      <w:pPr>
        <w:pStyle w:val="Heading1"/>
        <w:keepNext/>
      </w:pPr>
      <w:r>
        <w:rPr>
          <w:rFonts w:ascii="Calibri" w:hAnsi="Calibri"/>
        </w:rPr>
        <w:t xml:space="preserve">Hold steady in three moves</w:t>
      </w:r>
    </w:p>
    <w:p>
      <w:pPr>
        <w:numPr>
          <w:ilvl w:val="0"/>
          <w:numId w:val="2"/>
        </w:numPr>
        <w:spacing w:after="80" w:line="300" w:lineRule="auto"/>
      </w:pPr>
      <w:r>
        <w:rPr>
          <w:rFonts w:ascii="Calibri" w:hAnsi="Calibri"/>
          <w:sz w:val="22"/>
          <w:szCs w:val="22"/>
          <w:color w:val="283548"/>
        </w:rPr>
        <w:t xml:space="preserve">Acknowledge: "That is a fair thing to raise."</w:t>
      </w:r>
    </w:p>
    <w:p>
      <w:pPr>
        <w:numPr>
          <w:ilvl w:val="0"/>
          <w:numId w:val="2"/>
        </w:numPr>
        <w:spacing w:after="80" w:line="300" w:lineRule="auto"/>
      </w:pPr>
      <w:r>
        <w:rPr>
          <w:rFonts w:ascii="Calibri" w:hAnsi="Calibri"/>
          <w:sz w:val="22"/>
          <w:szCs w:val="22"/>
          <w:color w:val="283548"/>
        </w:rPr>
        <w:t xml:space="preserve">Ask which kind of "expensive" it is, so you address the real one.</w:t>
      </w:r>
    </w:p>
    <w:p>
      <w:pPr>
        <w:numPr>
          <w:ilvl w:val="0"/>
          <w:numId w:val="2"/>
        </w:numPr>
        <w:spacing w:after="80" w:line="300" w:lineRule="auto"/>
      </w:pPr>
      <w:r>
        <w:rPr>
          <w:rFonts w:ascii="Calibri" w:hAnsi="Calibri"/>
          <w:sz w:val="22"/>
          <w:szCs w:val="22"/>
          <w:color w:val="283548"/>
        </w:rPr>
        <w:t xml:space="preserve">Reconnect price to the specific problem and impact they described earlier.</w:t>
      </w:r>
    </w:p>
    <w:p>
      <w:pPr>
        <w:pStyle w:val="Heading1"/>
        <w:keepNext/>
      </w:pPr>
      <w:r>
        <w:rPr>
          <w:rFonts w:ascii="Calibri" w:hAnsi="Calibri"/>
        </w:rPr>
        <w:t xml:space="preserve">Professional standard</w:t>
      </w:r>
    </w:p>
    <w:p>
      <w:pPr>
        <w:spacing w:after="120" w:line="300" w:lineRule="auto"/>
      </w:pPr>
      <w:r>
        <w:rPr>
          <w:rFonts w:ascii="Calibri" w:hAnsi="Calibri"/>
          <w:sz w:val="22"/>
          <w:szCs w:val="22"/>
          <w:color w:val="283548"/>
        </w:rPr>
        <w:t xml:space="preserve">Professional objection handling is diagnosis, not debate. Acknowledge the concern, clarify it once, and respond only when there is useful information to add. Repeated or firm rejection ends the conversation.</w:t>
      </w:r>
    </w:p>
    <w:p>
      <w:pPr>
        <w:pStyle w:val="Heading1"/>
        <w:keepNext/>
      </w:pPr>
      <w:r>
        <w:rPr>
          <w:rFonts w:ascii="Calibri" w:hAnsi="Calibri"/>
        </w:rPr>
        <w:t xml:space="preserve">Professional workflow</w:t>
      </w:r>
    </w:p>
    <w:p>
      <w:pPr>
        <w:numPr>
          <w:ilvl w:val="0"/>
          <w:numId w:val="2"/>
        </w:numPr>
        <w:spacing w:after="80" w:line="300" w:lineRule="auto"/>
      </w:pPr>
      <w:r>
        <w:rPr>
          <w:rFonts w:ascii="Calibri" w:hAnsi="Calibri"/>
          <w:sz w:val="22"/>
          <w:szCs w:val="22"/>
          <w:color w:val="283548"/>
        </w:rPr>
        <w:t xml:space="preserve">Research the account and role before editing the script. Record one observable business signal, one plausible problem to test, and the source that supports the signal.</w:t>
      </w:r>
    </w:p>
    <w:p>
      <w:pPr>
        <w:numPr>
          <w:ilvl w:val="0"/>
          <w:numId w:val="2"/>
        </w:numPr>
        <w:spacing w:after="80" w:line="300" w:lineRule="auto"/>
      </w:pPr>
      <w:r>
        <w:rPr>
          <w:rFonts w:ascii="Calibri" w:hAnsi="Calibri"/>
          <w:sz w:val="22"/>
          <w:szCs w:val="22"/>
          <w:color w:val="283548"/>
        </w:rPr>
        <w:t xml:space="preserve">Replace every bracketed placeholder with plain language you would genuinely use. Remove claims, customer names, statistics, and urgency that you cannot verify.</w:t>
      </w:r>
    </w:p>
    <w:p>
      <w:pPr>
        <w:numPr>
          <w:ilvl w:val="0"/>
          <w:numId w:val="2"/>
        </w:numPr>
        <w:spacing w:after="80" w:line="300" w:lineRule="auto"/>
      </w:pPr>
      <w:r>
        <w:rPr>
          <w:rFonts w:ascii="Calibri" w:hAnsi="Calibri"/>
          <w:sz w:val="22"/>
          <w:szCs w:val="22"/>
          <w:color w:val="283548"/>
        </w:rPr>
        <w:t xml:space="preserve">Read the script aloud at normal speed. Shorten any sentence that forces you to rush, breathe in the middle, or sound as if you are reading.</w:t>
      </w:r>
    </w:p>
    <w:p>
      <w:pPr>
        <w:numPr>
          <w:ilvl w:val="0"/>
          <w:numId w:val="2"/>
        </w:numPr>
        <w:spacing w:after="80" w:line="300" w:lineRule="auto"/>
      </w:pPr>
      <w:r>
        <w:rPr>
          <w:rFonts w:ascii="Calibri" w:hAnsi="Calibri"/>
          <w:sz w:val="22"/>
          <w:szCs w:val="22"/>
          <w:color w:val="283548"/>
        </w:rPr>
        <w:t xml:space="preserve">Practise three variations: the intended flow, an early interruption, and a clear no. The goal is calm adaptation, not perfect memorisation.</w:t>
      </w:r>
    </w:p>
    <w:p>
      <w:pPr>
        <w:numPr>
          <w:ilvl w:val="0"/>
          <w:numId w:val="2"/>
        </w:numPr>
        <w:spacing w:after="80" w:line="300" w:lineRule="auto"/>
      </w:pPr>
      <w:r>
        <w:rPr>
          <w:rFonts w:ascii="Calibri" w:hAnsi="Calibri"/>
          <w:sz w:val="22"/>
          <w:szCs w:val="22"/>
          <w:color w:val="283548"/>
        </w:rPr>
        <w:t xml:space="preserve">After use, record only the outcome category and one learning point. Adjust one line at a time so you know which change improved clarity or relevance.</w:t>
      </w:r>
    </w:p>
    <w:p>
      <w:pPr>
        <w:pStyle w:val="Heading1"/>
        <w:keepNext/>
      </w:pPr>
      <w:r>
        <w:rPr>
          <w:rFonts w:ascii="Calibri" w:hAnsi="Calibri"/>
        </w:rPr>
        <w:t xml:space="preserve">Quality-control review</w:t>
      </w:r>
    </w:p>
    <w:tbl>
      <w:tblPr>
        <w:tblW w:w="9360" w:type="dxa"/>
        <w:tblInd w:w="120" w:type="dxa"/>
        <w:tblLayout w:type="fixed"/>
        <w:tblCellMar>
          <w:top w:w="100" w:type="dxa"/>
          <w:left w:w="120" w:type="dxa"/>
          <w:bottom w:w="10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363"/>
        <w:gridCol w:w="3998"/>
        <w:gridCol w:w="3999"/>
      </w:tblGrid>
      <w:tr>
        <w:trPr>
          <w:tblHeader/>
        </w:trPr>
        <w:tc>
          <w:tcPr>
            <w:tcW w:w="1363" w:type="dxa"/>
            <w:vAlign w:val="center"/>
            <w:shd w:val="clear" w:color="auto" w:fill="FFF3C4"/>
          </w:tcPr>
          <w:p>
            <w:pPr>
              <w:spacing w:after="40" w:line="280" w:lineRule="auto"/>
            </w:pPr>
            <w:r>
              <w:rPr>
                <w:rFonts w:ascii="Calibri" w:hAnsi="Calibri"/>
                <w:b/>
                <w:sz w:val="19"/>
                <w:szCs w:val="19"/>
                <w:color w:val="6B4F00"/>
              </w:rPr>
              <w:t xml:space="preserve">Review point</w:t>
            </w:r>
          </w:p>
        </w:tc>
        <w:tc>
          <w:tcPr>
            <w:tcW w:w="3998" w:type="dxa"/>
            <w:vAlign w:val="center"/>
            <w:shd w:val="clear" w:color="auto" w:fill="FFF3C4"/>
          </w:tcPr>
          <w:p>
            <w:pPr>
              <w:spacing w:after="40" w:line="280" w:lineRule="auto"/>
            </w:pPr>
            <w:r>
              <w:rPr>
                <w:rFonts w:ascii="Calibri" w:hAnsi="Calibri"/>
                <w:b/>
                <w:sz w:val="19"/>
                <w:szCs w:val="19"/>
                <w:color w:val="6B4F00"/>
              </w:rPr>
              <w:t xml:space="preserve">Professional standard</w:t>
            </w:r>
          </w:p>
        </w:tc>
        <w:tc>
          <w:tcPr>
            <w:tcW w:w="3999" w:type="dxa"/>
            <w:vAlign w:val="center"/>
            <w:shd w:val="clear" w:color="auto" w:fill="FFF3C4"/>
          </w:tcPr>
          <w:p>
            <w:pPr>
              <w:spacing w:after="40" w:line="280" w:lineRule="auto"/>
            </w:pPr>
            <w:r>
              <w:rPr>
                <w:rFonts w:ascii="Calibri" w:hAnsi="Calibri"/>
                <w:b/>
                <w:sz w:val="19"/>
                <w:szCs w:val="19"/>
                <w:color w:val="6B4F00"/>
              </w:rPr>
              <w:t xml:space="preserve">Warning sign</w:t>
            </w:r>
          </w:p>
        </w:tc>
      </w:tr>
      <w:tr>
        <w:tc>
          <w:tcPr>
            <w:tcW w:w="1363" w:type="dxa"/>
            <w:vAlign w:val="center"/>
          </w:tcPr>
          <w:p>
            <w:pPr>
              <w:spacing w:after="40" w:line="280" w:lineRule="auto"/>
            </w:pPr>
            <w:r>
              <w:rPr>
                <w:rFonts w:ascii="Calibri" w:hAnsi="Calibri"/>
                <w:sz w:val="19"/>
                <w:szCs w:val="19"/>
                <w:color w:val="283548"/>
              </w:rPr>
              <w:t xml:space="preserve">Acknowledgement</w:t>
            </w:r>
          </w:p>
        </w:tc>
        <w:tc>
          <w:tcPr>
            <w:tcW w:w="3998" w:type="dxa"/>
            <w:vAlign w:val="center"/>
          </w:tcPr>
          <w:p>
            <w:pPr>
              <w:spacing w:after="40" w:line="280" w:lineRule="auto"/>
            </w:pPr>
            <w:r>
              <w:rPr>
                <w:rFonts w:ascii="Calibri" w:hAnsi="Calibri"/>
                <w:sz w:val="19"/>
                <w:szCs w:val="19"/>
                <w:color w:val="283548"/>
              </w:rPr>
              <w:t xml:space="preserve">The response recognises the concern before asking another question.</w:t>
            </w:r>
          </w:p>
        </w:tc>
        <w:tc>
          <w:tcPr>
            <w:tcW w:w="3999" w:type="dxa"/>
            <w:vAlign w:val="center"/>
          </w:tcPr>
          <w:p>
            <w:pPr>
              <w:spacing w:after="40" w:line="280" w:lineRule="auto"/>
            </w:pPr>
            <w:r>
              <w:rPr>
                <w:rFonts w:ascii="Calibri" w:hAnsi="Calibri"/>
                <w:sz w:val="19"/>
                <w:szCs w:val="19"/>
                <w:color w:val="283548"/>
              </w:rPr>
              <w:t xml:space="preserve">The answer begins with a rebuttal or correction.</w:t>
            </w:r>
          </w:p>
        </w:tc>
      </w:tr>
      <w:tr>
        <w:tc>
          <w:tcPr>
            <w:tcW w:w="1363" w:type="dxa"/>
            <w:vAlign w:val="center"/>
          </w:tcPr>
          <w:p>
            <w:pPr>
              <w:spacing w:after="40" w:line="280" w:lineRule="auto"/>
            </w:pPr>
            <w:r>
              <w:rPr>
                <w:rFonts w:ascii="Calibri" w:hAnsi="Calibri"/>
                <w:sz w:val="19"/>
                <w:szCs w:val="19"/>
                <w:color w:val="283548"/>
              </w:rPr>
              <w:t xml:space="preserve">Diagnosis</w:t>
            </w:r>
          </w:p>
        </w:tc>
        <w:tc>
          <w:tcPr>
            <w:tcW w:w="3998" w:type="dxa"/>
            <w:vAlign w:val="center"/>
          </w:tcPr>
          <w:p>
            <w:pPr>
              <w:spacing w:after="40" w:line="280" w:lineRule="auto"/>
            </w:pPr>
            <w:r>
              <w:rPr>
                <w:rFonts w:ascii="Calibri" w:hAnsi="Calibri"/>
                <w:sz w:val="19"/>
                <w:szCs w:val="19"/>
                <w:color w:val="283548"/>
              </w:rPr>
              <w:t xml:space="preserve">One neutral question identifies timing, fit, value, authority, or information needs.</w:t>
            </w:r>
          </w:p>
        </w:tc>
        <w:tc>
          <w:tcPr>
            <w:tcW w:w="3999" w:type="dxa"/>
            <w:vAlign w:val="center"/>
          </w:tcPr>
          <w:p>
            <w:pPr>
              <w:spacing w:after="40" w:line="280" w:lineRule="auto"/>
            </w:pPr>
            <w:r>
              <w:rPr>
                <w:rFonts w:ascii="Calibri" w:hAnsi="Calibri"/>
                <w:sz w:val="19"/>
                <w:szCs w:val="19"/>
                <w:color w:val="283548"/>
              </w:rPr>
              <w:t xml:space="preserve">Several questions are stacked to wear down resistance.</w:t>
            </w:r>
          </w:p>
        </w:tc>
      </w:tr>
      <w:tr>
        <w:tc>
          <w:tcPr>
            <w:tcW w:w="1363" w:type="dxa"/>
            <w:vAlign w:val="center"/>
          </w:tcPr>
          <w:p>
            <w:pPr>
              <w:spacing w:after="40" w:line="280" w:lineRule="auto"/>
            </w:pPr>
            <w:r>
              <w:rPr>
                <w:rFonts w:ascii="Calibri" w:hAnsi="Calibri"/>
                <w:sz w:val="19"/>
                <w:szCs w:val="19"/>
                <w:color w:val="283548"/>
              </w:rPr>
              <w:t xml:space="preserve">Response</w:t>
            </w:r>
          </w:p>
        </w:tc>
        <w:tc>
          <w:tcPr>
            <w:tcW w:w="3998" w:type="dxa"/>
            <w:vAlign w:val="center"/>
          </w:tcPr>
          <w:p>
            <w:pPr>
              <w:spacing w:after="40" w:line="280" w:lineRule="auto"/>
            </w:pPr>
            <w:r>
              <w:rPr>
                <w:rFonts w:ascii="Calibri" w:hAnsi="Calibri"/>
                <w:sz w:val="19"/>
                <w:szCs w:val="19"/>
                <w:color w:val="283548"/>
              </w:rPr>
              <w:t xml:space="preserve">The reply addresses the stated concern with verifiable information.</w:t>
            </w:r>
          </w:p>
        </w:tc>
        <w:tc>
          <w:tcPr>
            <w:tcW w:w="3999" w:type="dxa"/>
            <w:vAlign w:val="center"/>
          </w:tcPr>
          <w:p>
            <w:pPr>
              <w:spacing w:after="40" w:line="280" w:lineRule="auto"/>
            </w:pPr>
            <w:r>
              <w:rPr>
                <w:rFonts w:ascii="Calibri" w:hAnsi="Calibri"/>
                <w:sz w:val="19"/>
                <w:szCs w:val="19"/>
                <w:color w:val="283548"/>
              </w:rPr>
              <w:t xml:space="preserve">The reply changes the subject or uses an unsupported claim.</w:t>
            </w:r>
          </w:p>
        </w:tc>
      </w:tr>
      <w:tr>
        <w:tc>
          <w:tcPr>
            <w:tcW w:w="1363" w:type="dxa"/>
            <w:vAlign w:val="center"/>
          </w:tcPr>
          <w:p>
            <w:pPr>
              <w:spacing w:after="40" w:line="280" w:lineRule="auto"/>
            </w:pPr>
            <w:r>
              <w:rPr>
                <w:rFonts w:ascii="Calibri" w:hAnsi="Calibri"/>
                <w:sz w:val="19"/>
                <w:szCs w:val="19"/>
                <w:color w:val="283548"/>
              </w:rPr>
              <w:t xml:space="preserve">Exit discipline</w:t>
            </w:r>
          </w:p>
        </w:tc>
        <w:tc>
          <w:tcPr>
            <w:tcW w:w="3998" w:type="dxa"/>
            <w:vAlign w:val="center"/>
          </w:tcPr>
          <w:p>
            <w:pPr>
              <w:spacing w:after="40" w:line="280" w:lineRule="auto"/>
            </w:pPr>
            <w:r>
              <w:rPr>
                <w:rFonts w:ascii="Calibri" w:hAnsi="Calibri"/>
                <w:sz w:val="19"/>
                <w:szCs w:val="19"/>
                <w:color w:val="283548"/>
              </w:rPr>
              <w:t xml:space="preserve">A clear no is thanked and respected immediately.</w:t>
            </w:r>
          </w:p>
        </w:tc>
        <w:tc>
          <w:tcPr>
            <w:tcW w:w="3999" w:type="dxa"/>
            <w:vAlign w:val="center"/>
          </w:tcPr>
          <w:p>
            <w:pPr>
              <w:spacing w:after="40" w:line="280" w:lineRule="auto"/>
            </w:pPr>
            <w:r>
              <w:rPr>
                <w:rFonts w:ascii="Calibri" w:hAnsi="Calibri"/>
                <w:sz w:val="19"/>
                <w:szCs w:val="19"/>
                <w:color w:val="283548"/>
              </w:rPr>
              <w:t xml:space="preserve">The same objection is challenged more than once.</w:t>
            </w:r>
          </w:p>
        </w:tc>
      </w:tr>
    </w:tbl>
    <w:p>
      <w:pPr>
        <w:spacing w:after="80"/>
      </w:pPr>
      <w:r>
        <w:rPr>
          <w:rFonts w:ascii="Calibri" w:hAnsi="Calibri"/>
        </w:rPr>
        <w:t xml:space="preserve"/>
      </w:r>
    </w:p>
    <w:p>
      <w:pPr>
        <w:pStyle w:val="Heading1"/>
        <w:keepNext/>
      </w:pPr>
      <w:r>
        <w:rPr>
          <w:rFonts w:ascii="Calibri" w:hAnsi="Calibri"/>
        </w:rPr>
        <w:t xml:space="preserve">Evidence and improvement signals</w:t>
      </w:r>
    </w:p>
    <w:p>
      <w:pPr>
        <w:numPr>
          <w:ilvl w:val="0"/>
          <w:numId w:val="1"/>
        </w:numPr>
        <w:spacing w:after="80" w:line="300" w:lineRule="auto"/>
      </w:pPr>
      <w:r>
        <w:rPr>
          <w:rFonts w:ascii="Calibri" w:hAnsi="Calibri"/>
          <w:sz w:val="22"/>
          <w:szCs w:val="22"/>
          <w:color w:val="283548"/>
        </w:rPr>
        <w:t xml:space="preserve">Classify objections by underlying reason instead of memorising a separate comeback for every phrase.</w:t>
      </w:r>
    </w:p>
    <w:p>
      <w:pPr>
        <w:numPr>
          <w:ilvl w:val="0"/>
          <w:numId w:val="1"/>
        </w:numPr>
        <w:spacing w:after="80" w:line="300" w:lineRule="auto"/>
      </w:pPr>
      <w:r>
        <w:rPr>
          <w:rFonts w:ascii="Calibri" w:hAnsi="Calibri"/>
          <w:sz w:val="22"/>
          <w:szCs w:val="22"/>
          <w:color w:val="283548"/>
        </w:rPr>
        <w:t xml:space="preserve">Review whether your clarifying question produced new information or simply prolonged the call.</w:t>
      </w:r>
    </w:p>
    <w:p>
      <w:pPr>
        <w:numPr>
          <w:ilvl w:val="0"/>
          <w:numId w:val="1"/>
        </w:numPr>
        <w:spacing w:after="80" w:line="300" w:lineRule="auto"/>
      </w:pPr>
      <w:r>
        <w:rPr>
          <w:rFonts w:ascii="Calibri" w:hAnsi="Calibri"/>
          <w:sz w:val="22"/>
          <w:szCs w:val="22"/>
          <w:color w:val="283548"/>
        </w:rPr>
        <w:t xml:space="preserve">Track calmness and listening quality, not only meetings booked after an objection.</w:t>
      </w:r>
    </w:p>
    <w:p>
      <w:pPr>
        <w:numPr>
          <w:ilvl w:val="0"/>
          <w:numId w:val="1"/>
        </w:numPr>
        <w:spacing w:after="80" w:line="300" w:lineRule="auto"/>
      </w:pPr>
      <w:r>
        <w:rPr>
          <w:rFonts w:ascii="Calibri" w:hAnsi="Calibri"/>
          <w:sz w:val="22"/>
          <w:szCs w:val="22"/>
          <w:color w:val="283548"/>
        </w:rPr>
        <w:t xml:space="preserve">Add a response to your playbook only after you can support it with accurate product or process information.</w:t>
      </w:r>
    </w:p>
    <w:p>
      <w:pPr>
        <w:pStyle w:val="Heading1"/>
        <w:keepNext/>
      </w:pPr>
      <w:r>
        <w:rPr>
          <w:rFonts w:ascii="Calibri" w:hAnsi="Calibri"/>
        </w:rPr>
        <w:t xml:space="preserve">Worked example</w:t>
      </w:r>
    </w:p>
    <w:p>
      <w:pPr>
        <w:spacing w:after="120" w:line="300" w:lineRule="auto"/>
      </w:pPr>
      <w:r>
        <w:rPr>
          <w:rFonts w:ascii="Calibri" w:hAnsi="Calibri"/>
          <w:sz w:val="22"/>
          <w:szCs w:val="22"/>
          <w:color w:val="283548"/>
        </w:rPr>
        <w:t xml:space="preserve">"That is a fair thing to raise. Can I ask — is it more than you expected compared to what you use now, or more than there is room for this quarter? … Budget this quarter. Understood. Earlier you said a bad coverage week costs you overtime and missed pickups — if that is the real cost, it might be worth revisiting when budget frees up. I would rather do that than discount into something that does not fit."</w:t>
      </w:r>
    </w:p>
    <w:p>
      <w:pPr>
        <w:pStyle w:val="Heading1"/>
        <w:keepNext/>
      </w:pPr>
      <w:r>
        <w:rPr>
          <w:rFonts w:ascii="Calibri" w:hAnsi="Calibri"/>
        </w:rPr>
        <w:t xml:space="preserve">Safe-practice note</w:t>
      </w:r>
    </w:p>
    <w:p>
      <w:pPr>
        <w:spacing w:after="120" w:line="300" w:lineRule="auto"/>
      </w:pPr>
      <w:r>
        <w:rPr>
          <w:rFonts w:ascii="Calibri" w:hAnsi="Calibri"/>
          <w:sz w:val="22"/>
          <w:szCs w:val="22"/>
          <w:color w:val="283548"/>
        </w:rPr>
        <w:t xml:space="preserve">Do not reflexively discount to save a deal — it teaches the buyer your price is negotiable fiction and can trap you in a bad fit. Never invent ROI figures or cite results you cannot back up. If the value genuinely is not there for them, it is honest to say so and step back.</w:t>
      </w:r>
    </w:p>
    <w:p>
      <w:pPr>
        <w:spacing w:before="240" w:after="40"/>
      </w:pPr>
      <w:r>
        <w:rPr>
          <w:rFonts w:ascii="Calibri" w:hAnsi="Calibri"/>
          <w:sz w:val="17"/>
          <w:szCs w:val="17"/>
          <w:color w:val="7B8494"/>
        </w:rPr>
        <w:t xml:space="preserve">Last reviewed: 2026-07-28 | AmplifyHub Practical Resource Library</w:t>
      </w:r>
    </w:p>
    <w:sectPr>
      <w:headerReference w:type="default" r:id="rId3"/>
      <w:footerReference w:type="default" r:id="rId4"/>
      <w:pgSz w:w="12240" w:h="15840"/>
      <w:pgMar w:top="1440" w:right="1440" w:bottom="1440" w:left="1440" w:header="708" w:footer="708" w:gutter="0"/>
    </w:sectPr>
  </w:body>
</w:document>
</file>

<file path=word/footer1.xml><?xml version="1.0" encoding="utf-8"?>
<w:ftr xmlns:w="http://schemas.openxmlformats.org/wordprocessingml/2006/main">
  <w:p>
    <w:pPr>
      <w:jc w:val="right"/>
    </w:pPr>
    <w:r>
      <w:rPr>
        <w:color w:val="7B8494"/>
        <w:sz w:val="16"/>
      </w:rPr>
      <w:t>AmplifyHub  |  Page </w:t>
    </w:r>
    <w:fldSimple w:instr="PAGE">
      <w:r>
        <w:rPr>
          <w:color w:val="7B8494"/>
          <w:sz w:val="16"/>
        </w:rPr>
        <w:t>1</w:t>
      </w:r>
    </w:fldSimple>
  </w:p>
</w:ftr>
</file>

<file path=word/header1.xml><?xml version="1.0" encoding="utf-8"?>
<w:hdr xmlns:w="http://schemas.openxmlformats.org/wordprocessingml/2006/main">
  <w:p>
    <w:pPr>
      <w:spacing w:after="40"/>
    </w:pPr>
    <w:r>
      <w:rPr>
        <w:rFonts w:ascii="Calibri" w:hAnsi="Calibri"/>
        <w:b/>
        <w:sz w:val="16"/>
        <w:szCs w:val="16"/>
        <w:color w:val="8A6200"/>
      </w:rPr>
      <w:t xml:space="preserve">AMPLIFYHUB  |  PRACTICAL RESOURCE LIBRARY</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283548"/>
    </w:rPr>
  </w:style>
  <w:style w:type="paragraph" w:styleId="Title">
    <w:name w:val="Title"/>
    <w:pPr>
      <w:keepNext/>
      <w:spacing w:after="120"/>
    </w:pPr>
    <w:rPr>
      <w:rFonts w:ascii="Calibri" w:hAnsi="Calibri"/>
      <w:b/>
      <w:sz w:val="56"/>
      <w:color w:val="172033"/>
    </w:rPr>
  </w:style>
  <w:style w:type="paragraph" w:styleId="Heading1">
    <w:name w:val="Heading 1"/>
    <w:pPr>
      <w:keepNext/>
      <w:spacing w:before="280" w:after="140"/>
    </w:pPr>
    <w:rPr>
      <w:rFonts w:ascii="Calibri" w:hAnsi="Calibri"/>
      <w:b/>
      <w:sz w:val="30"/>
      <w:color w:val="8A62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s>
</file>