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0220"/>
        <w:gridCol w:w="2920"/>
      </w:tblGrid>
      <w:tr w:rsidR="004114E3" w:rsidTr="004114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ID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/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Priority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1"/>
            </w:pPr>
            <w:proofErr w:type="gramStart"/>
            <w:r>
              <w:t xml:space="preserve">1  </w:t>
            </w:r>
            <w:r>
              <w:t>Introduction</w:t>
            </w:r>
            <w:proofErr w:type="gramEnd"/>
          </w:p>
          <w:p w:rsidR="004114E3" w:rsidRDefault="004114E3" w:rsidP="004114E3">
            <w:r>
              <w:t>System Requirements Document (SRD</w:t>
            </w:r>
            <w:r>
              <w:t xml:space="preserve">) for the </w:t>
            </w:r>
            <w:proofErr w:type="spellStart"/>
            <w:r>
              <w:t>Eval</w:t>
            </w:r>
            <w:proofErr w:type="spellEnd"/>
            <w:r>
              <w:t xml:space="preserve"> One Alarm System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>1.1  Purpose</w:t>
            </w:r>
            <w:proofErr w:type="gramEnd"/>
            <w:r>
              <w:t xml:space="preserve"> of the Document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3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This document is the System Requirements Document (SRD) for the </w:t>
            </w:r>
            <w:proofErr w:type="spellStart"/>
            <w:r>
              <w:t>Eval</w:t>
            </w:r>
            <w:proofErr w:type="spellEnd"/>
            <w:r>
              <w:t xml:space="preserve"> One Security System (EOSS), from this point forwa</w:t>
            </w:r>
            <w:r>
              <w:t>rd referred to as "the system".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4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>1.2  Scope</w:t>
            </w:r>
            <w:proofErr w:type="gramEnd"/>
            <w:r>
              <w:t xml:space="preserve"> of the System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5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system will be able to </w:t>
            </w:r>
            <w:proofErr w:type="gramStart"/>
            <w:r>
              <w:t>be turned on</w:t>
            </w:r>
            <w:proofErr w:type="gramEnd"/>
            <w:r>
              <w:t xml:space="preserve"> or off by an </w:t>
            </w:r>
            <w:proofErr w:type="spellStart"/>
            <w:r>
              <w:t>authorised</w:t>
            </w:r>
            <w:proofErr w:type="spellEnd"/>
            <w:r>
              <w:t xml:space="preserve"> user, detect intruders, initiate an alarm, contact external security authorities in the event of an alarm and allow an </w:t>
            </w:r>
            <w:proofErr w:type="spellStart"/>
            <w:r>
              <w:t>authorised</w:t>
            </w:r>
            <w:proofErr w:type="spellEnd"/>
            <w:r>
              <w:t xml:space="preserve"> user to disable an initiated alarm. The users, intruders and security authorities </w:t>
            </w:r>
            <w:proofErr w:type="gramStart"/>
            <w:r>
              <w:t>are considered</w:t>
            </w:r>
            <w:proofErr w:type="gramEnd"/>
            <w:r>
              <w:t xml:space="preserve"> external actors to the system.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6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 xml:space="preserve">1.3  </w:t>
            </w:r>
            <w:r>
              <w:t>Definitions</w:t>
            </w:r>
            <w:proofErr w:type="gramEnd"/>
            <w:r>
              <w:t xml:space="preserve"> Acronyms, and Abbreviations</w:t>
            </w:r>
          </w:p>
          <w:p w:rsidR="004114E3" w:rsidRDefault="004114E3" w:rsidP="004114E3">
            <w:r>
              <w:t xml:space="preserve">EOSS - </w:t>
            </w:r>
            <w:proofErr w:type="spellStart"/>
            <w:r>
              <w:t>Eval</w:t>
            </w:r>
            <w:proofErr w:type="spellEnd"/>
            <w:r>
              <w:t xml:space="preserve"> One Security System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7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 xml:space="preserve">1.4  </w:t>
            </w:r>
            <w:r>
              <w:t>References</w:t>
            </w:r>
            <w:proofErr w:type="gramEnd"/>
          </w:p>
          <w:p w:rsidR="004114E3" w:rsidRDefault="004114E3" w:rsidP="004114E3">
            <w:r>
              <w:t>COE 420 Tutorial handout.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8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1"/>
            </w:pPr>
            <w:proofErr w:type="gramStart"/>
            <w:r>
              <w:t>2  General</w:t>
            </w:r>
            <w:proofErr w:type="gramEnd"/>
            <w:r>
              <w:t xml:space="preserve"> Descriptions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9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 xml:space="preserve">2.1  </w:t>
            </w:r>
            <w:r>
              <w:t>System</w:t>
            </w:r>
            <w:proofErr w:type="gramEnd"/>
            <w:r>
              <w:t xml:space="preserve"> Description</w:t>
            </w:r>
          </w:p>
          <w:p w:rsidR="004114E3" w:rsidRDefault="004114E3" w:rsidP="004114E3">
            <w:r>
              <w:t xml:space="preserve">The system is intended as a </w:t>
            </w:r>
            <w:proofErr w:type="gramStart"/>
            <w:r>
              <w:t>small scale</w:t>
            </w:r>
            <w:proofErr w:type="gramEnd"/>
            <w:r>
              <w:t xml:space="preserve"> security solution that will be able to detect intruders and sound an alarm while contacting external security</w:t>
            </w:r>
            <w:r>
              <w:t xml:space="preserve"> authorities of the intrusion. 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10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 xml:space="preserve">2.2  </w:t>
            </w:r>
            <w:r>
              <w:t>Intended</w:t>
            </w:r>
            <w:proofErr w:type="gramEnd"/>
            <w:r>
              <w:t xml:space="preserve"> Use</w:t>
            </w:r>
          </w:p>
          <w:p w:rsidR="004114E3" w:rsidRDefault="004114E3" w:rsidP="004114E3">
            <w:r>
              <w:t xml:space="preserve">The system </w:t>
            </w:r>
            <w:proofErr w:type="gramStart"/>
            <w:r>
              <w:t>is intended to be used</w:t>
            </w:r>
            <w:proofErr w:type="gramEnd"/>
            <w:r>
              <w:t xml:space="preserve"> by a limited number of </w:t>
            </w:r>
            <w:proofErr w:type="spellStart"/>
            <w:r>
              <w:t>authorised</w:t>
            </w:r>
            <w:proofErr w:type="spellEnd"/>
            <w:r>
              <w:t xml:space="preserve"> users such as small business owners/managers. The system </w:t>
            </w:r>
            <w:proofErr w:type="gramStart"/>
            <w:r>
              <w:t>is intended to be installed</w:t>
            </w:r>
            <w:proofErr w:type="gramEnd"/>
            <w:r>
              <w:t xml:space="preserve"> so that intruders can be detected throu</w:t>
            </w:r>
            <w:r>
              <w:t>ghout the area to be monitored.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11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1"/>
            </w:pPr>
            <w:proofErr w:type="gramStart"/>
            <w:r>
              <w:t>3  Specific</w:t>
            </w:r>
            <w:proofErr w:type="gramEnd"/>
            <w:r>
              <w:t xml:space="preserve"> Requirements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12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>3.1  Functional</w:t>
            </w:r>
            <w:proofErr w:type="gramEnd"/>
            <w:r>
              <w:t xml:space="preserve"> Requirements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13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>3.1.1  User</w:t>
            </w:r>
            <w:proofErr w:type="gramEnd"/>
            <w:r>
              <w:t xml:space="preserve"> </w:t>
            </w:r>
            <w:proofErr w:type="spellStart"/>
            <w:r>
              <w:t>Authorisation</w:t>
            </w:r>
            <w:proofErr w:type="spellEnd"/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14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system shall check that a user is </w:t>
            </w:r>
            <w:proofErr w:type="spellStart"/>
            <w:r>
              <w:t>authorised</w:t>
            </w:r>
            <w:proofErr w:type="spellEnd"/>
            <w:r>
              <w:t xml:space="preserve"> before th</w:t>
            </w:r>
            <w:r>
              <w:t>e user can operate the system.</w:t>
            </w:r>
            <w:r>
              <w:br/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15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>3.1.2  System</w:t>
            </w:r>
            <w:proofErr w:type="gramEnd"/>
            <w:r>
              <w:t xml:space="preserve"> Activation/Deactivation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16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system shall be able to be </w:t>
            </w:r>
            <w:proofErr w:type="gramStart"/>
            <w:r>
              <w:t>activated</w:t>
            </w:r>
            <w:proofErr w:type="gramEnd"/>
            <w:r>
              <w:t xml:space="preserve"> or dea</w:t>
            </w:r>
            <w:r>
              <w:t xml:space="preserve">ctivated by an </w:t>
            </w:r>
            <w:proofErr w:type="spellStart"/>
            <w:r>
              <w:t>authorised</w:t>
            </w:r>
            <w:proofErr w:type="spellEnd"/>
            <w:r>
              <w:t xml:space="preserve"> user.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lastRenderedPageBreak/>
              <w:t>17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 xml:space="preserve">3.1.3  </w:t>
            </w:r>
            <w:r>
              <w:t>Intruder</w:t>
            </w:r>
            <w:proofErr w:type="gramEnd"/>
            <w:r>
              <w:t xml:space="preserve"> Detection</w:t>
            </w:r>
          </w:p>
          <w:p w:rsidR="004114E3" w:rsidRDefault="004114E3" w:rsidP="004114E3">
            <w:r>
              <w:t>The system, while activated, shall be able to detect intruders in th</w:t>
            </w:r>
            <w:r>
              <w:t>e area monitored by the system.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18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>3.1.4  Alarm</w:t>
            </w:r>
            <w:proofErr w:type="gramEnd"/>
            <w:r>
              <w:t xml:space="preserve"> Initiation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19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system shall initiate an alarm if an intruder </w:t>
            </w:r>
            <w:proofErr w:type="gramStart"/>
            <w:r>
              <w:t>is detected</w:t>
            </w:r>
            <w:proofErr w:type="gramEnd"/>
            <w:r>
              <w:t>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20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 xml:space="preserve">3.1.5  </w:t>
            </w:r>
            <w:r>
              <w:t>External</w:t>
            </w:r>
            <w:proofErr w:type="gramEnd"/>
            <w:r>
              <w:t xml:space="preserve"> </w:t>
            </w:r>
            <w:r>
              <w:t>Security Authority Notification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21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>The system shall be able to notify an external security autho</w:t>
            </w:r>
            <w:r>
              <w:t xml:space="preserve">rity if the alarm </w:t>
            </w:r>
            <w:proofErr w:type="gramStart"/>
            <w:r>
              <w:t>is initiated</w:t>
            </w:r>
            <w:proofErr w:type="gramEnd"/>
            <w:r>
              <w:t>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22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2"/>
            </w:pPr>
            <w:proofErr w:type="gramStart"/>
            <w:r>
              <w:t xml:space="preserve">3.2  </w:t>
            </w:r>
            <w:r>
              <w:t>Interface</w:t>
            </w:r>
            <w:proofErr w:type="gramEnd"/>
            <w:r>
              <w:t xml:space="preserve"> Requirements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23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>3.2.1  User</w:t>
            </w:r>
            <w:proofErr w:type="gramEnd"/>
            <w:r>
              <w:t xml:space="preserve"> Interface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24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user shall be able to enter an </w:t>
            </w:r>
            <w:proofErr w:type="spellStart"/>
            <w:r>
              <w:t>authorisation</w:t>
            </w:r>
            <w:proofErr w:type="spellEnd"/>
            <w:r>
              <w:t xml:space="preserve"> code into the system. </w:t>
            </w:r>
            <w:proofErr w:type="gramStart"/>
            <w:r>
              <w:t>blah</w:t>
            </w:r>
            <w:proofErr w:type="gramEnd"/>
            <w:r>
              <w:t xml:space="preserve"> The user shall be able to act</w:t>
            </w:r>
            <w:r>
              <w:t>ivate or deactivate the system.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25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 xml:space="preserve">3.2.2  </w:t>
            </w:r>
            <w:r>
              <w:t>Compatibility</w:t>
            </w:r>
            <w:proofErr w:type="gramEnd"/>
            <w:r>
              <w:t xml:space="preserve"> w</w:t>
            </w:r>
            <w:r>
              <w:t>ith Environment of Intended Use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26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system shall be able to </w:t>
            </w:r>
            <w:proofErr w:type="gramStart"/>
            <w:r>
              <w:t>be installed</w:t>
            </w:r>
            <w:proofErr w:type="gramEnd"/>
            <w:r>
              <w:t xml:space="preserve"> in the area to be monitored so that any intrude</w:t>
            </w:r>
            <w:r>
              <w:t>rs in the area can be detected.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27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system shall be able to </w:t>
            </w:r>
            <w:proofErr w:type="gramStart"/>
            <w:r>
              <w:t>be installed</w:t>
            </w:r>
            <w:proofErr w:type="gramEnd"/>
            <w:r>
              <w:t xml:space="preserve"> so that the user interface is </w:t>
            </w:r>
            <w:r>
              <w:t xml:space="preserve">accessible by </w:t>
            </w:r>
            <w:proofErr w:type="spellStart"/>
            <w:r>
              <w:t>authorised</w:t>
            </w:r>
            <w:proofErr w:type="spellEnd"/>
            <w:r>
              <w:t xml:space="preserve"> users.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28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 xml:space="preserve">The system shall be able to </w:t>
            </w:r>
            <w:proofErr w:type="gramStart"/>
            <w:r>
              <w:t>be installed</w:t>
            </w:r>
            <w:proofErr w:type="gramEnd"/>
            <w:r>
              <w:t xml:space="preserve"> so that the alarm can be heard throu</w:t>
            </w:r>
            <w:r>
              <w:t>ghout the area to be monitored.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29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3"/>
            </w:pPr>
            <w:proofErr w:type="gramStart"/>
            <w:r>
              <w:t>3.2.3  External</w:t>
            </w:r>
            <w:proofErr w:type="gramEnd"/>
            <w:r>
              <w:t xml:space="preserve"> Security Authority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30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r>
              <w:t>The system shall be able to send a one-way communication to an external security authority to notify the a</w:t>
            </w:r>
            <w:r>
              <w:t>uthority of an initiated alarm.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31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1"/>
            </w:pPr>
            <w:proofErr w:type="gramStart"/>
            <w:r>
              <w:t>4  Diagrams</w:t>
            </w:r>
            <w:proofErr w:type="gramEnd"/>
            <w:r>
              <w:t xml:space="preserve"> 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</w:p>
        </w:tc>
      </w:tr>
      <w:tr w:rsidR="004114E3" w:rsidTr="004114E3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4114E3" w:rsidRDefault="004114E3" w:rsidP="004114E3">
            <w:r>
              <w:t>32</w:t>
            </w:r>
          </w:p>
        </w:tc>
        <w:tc>
          <w:tcPr>
            <w:tcW w:w="10220" w:type="dxa"/>
            <w:shd w:val="clear" w:color="auto" w:fill="auto"/>
          </w:tcPr>
          <w:p w:rsidR="004114E3" w:rsidRDefault="004114E3" w:rsidP="004114E3">
            <w:pPr>
              <w:pStyle w:val="Heading1"/>
            </w:pPr>
            <w:r>
              <w:t>5  OLE Objects  0</w:t>
            </w:r>
          </w:p>
        </w:tc>
        <w:tc>
          <w:tcPr>
            <w:tcW w:w="2920" w:type="dxa"/>
            <w:shd w:val="clear" w:color="auto" w:fill="auto"/>
          </w:tcPr>
          <w:p w:rsidR="004114E3" w:rsidRDefault="004114E3" w:rsidP="004114E3">
            <w:r>
              <w:t>High</w:t>
            </w:r>
            <w:bookmarkStart w:id="0" w:name="_GoBack"/>
            <w:bookmarkEnd w:id="0"/>
          </w:p>
        </w:tc>
      </w:tr>
    </w:tbl>
    <w:p w:rsidR="008463D7" w:rsidRDefault="008463D7" w:rsidP="004114E3"/>
    <w:sectPr w:rsidR="0084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1EC0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5A2B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4037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A0882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A2C5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D6C8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A2434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148F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CCDE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22A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E3"/>
    <w:rsid w:val="004114E3"/>
    <w:rsid w:val="0084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4F71"/>
  <w15:chartTrackingRefBased/>
  <w15:docId w15:val="{A1526D21-BC6C-47C1-97C8-DB2F9EA3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11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1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14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14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14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14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14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4E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114E3"/>
  </w:style>
  <w:style w:type="paragraph" w:styleId="BlockText">
    <w:name w:val="Block Text"/>
    <w:basedOn w:val="Normal"/>
    <w:uiPriority w:val="99"/>
    <w:semiHidden/>
    <w:unhideWhenUsed/>
    <w:rsid w:val="004114E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114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14E3"/>
  </w:style>
  <w:style w:type="paragraph" w:styleId="BodyText2">
    <w:name w:val="Body Text 2"/>
    <w:basedOn w:val="Normal"/>
    <w:link w:val="BodyText2Char"/>
    <w:uiPriority w:val="99"/>
    <w:semiHidden/>
    <w:unhideWhenUsed/>
    <w:rsid w:val="004114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114E3"/>
  </w:style>
  <w:style w:type="paragraph" w:styleId="BodyText3">
    <w:name w:val="Body Text 3"/>
    <w:basedOn w:val="Normal"/>
    <w:link w:val="BodyText3Char"/>
    <w:uiPriority w:val="99"/>
    <w:semiHidden/>
    <w:unhideWhenUsed/>
    <w:rsid w:val="004114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11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114E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114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114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114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114E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114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114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114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114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114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4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114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114E3"/>
  </w:style>
  <w:style w:type="paragraph" w:styleId="CommentText">
    <w:name w:val="annotation text"/>
    <w:basedOn w:val="Normal"/>
    <w:link w:val="CommentTextChar"/>
    <w:uiPriority w:val="99"/>
    <w:semiHidden/>
    <w:unhideWhenUsed/>
    <w:rsid w:val="004114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4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4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14E3"/>
  </w:style>
  <w:style w:type="character" w:customStyle="1" w:styleId="DateChar">
    <w:name w:val="Date Char"/>
    <w:basedOn w:val="DefaultParagraphFont"/>
    <w:link w:val="Date"/>
    <w:uiPriority w:val="99"/>
    <w:semiHidden/>
    <w:rsid w:val="004114E3"/>
  </w:style>
  <w:style w:type="paragraph" w:styleId="DocumentMap">
    <w:name w:val="Document Map"/>
    <w:basedOn w:val="Normal"/>
    <w:link w:val="DocumentMapChar"/>
    <w:uiPriority w:val="99"/>
    <w:semiHidden/>
    <w:unhideWhenUsed/>
    <w:rsid w:val="004114E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4E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114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114E3"/>
  </w:style>
  <w:style w:type="paragraph" w:styleId="EndnoteText">
    <w:name w:val="endnote text"/>
    <w:basedOn w:val="Normal"/>
    <w:link w:val="EndnoteTextChar"/>
    <w:uiPriority w:val="99"/>
    <w:semiHidden/>
    <w:unhideWhenUsed/>
    <w:rsid w:val="004114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14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114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114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11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14E3"/>
  </w:style>
  <w:style w:type="paragraph" w:styleId="FootnoteText">
    <w:name w:val="footnote text"/>
    <w:basedOn w:val="Normal"/>
    <w:link w:val="FootnoteTextChar"/>
    <w:uiPriority w:val="99"/>
    <w:semiHidden/>
    <w:unhideWhenUsed/>
    <w:rsid w:val="004114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4E3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11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4E3"/>
  </w:style>
  <w:style w:type="character" w:customStyle="1" w:styleId="Heading1Char">
    <w:name w:val="Heading 1 Char"/>
    <w:basedOn w:val="DefaultParagraphFont"/>
    <w:link w:val="Heading1"/>
    <w:rsid w:val="00411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11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1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14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14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14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1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1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114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114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4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4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114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114E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4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4E3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114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114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114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114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114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114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114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114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114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114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114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114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114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114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114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114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114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114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114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114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114E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114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14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114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114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114E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114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114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114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114E3"/>
  </w:style>
  <w:style w:type="paragraph" w:styleId="PlainText">
    <w:name w:val="Plain Text"/>
    <w:basedOn w:val="Normal"/>
    <w:link w:val="PlainTextChar"/>
    <w:uiPriority w:val="99"/>
    <w:semiHidden/>
    <w:unhideWhenUsed/>
    <w:rsid w:val="004114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14E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114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4E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114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114E3"/>
  </w:style>
  <w:style w:type="paragraph" w:styleId="Signature">
    <w:name w:val="Signature"/>
    <w:basedOn w:val="Normal"/>
    <w:link w:val="SignatureChar"/>
    <w:uiPriority w:val="99"/>
    <w:semiHidden/>
    <w:unhideWhenUsed/>
    <w:rsid w:val="004114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114E3"/>
  </w:style>
  <w:style w:type="paragraph" w:styleId="Subtitle">
    <w:name w:val="Subtitle"/>
    <w:basedOn w:val="Normal"/>
    <w:next w:val="Normal"/>
    <w:link w:val="SubtitleChar"/>
    <w:uiPriority w:val="11"/>
    <w:qFormat/>
    <w:rsid w:val="004114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14E3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114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114E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411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114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114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114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114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114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114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114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114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114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114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4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dcterms:created xsi:type="dcterms:W3CDTF">2018-02-05T10:49:00Z</dcterms:created>
  <dcterms:modified xsi:type="dcterms:W3CDTF">2018-02-05T10:52:00Z</dcterms:modified>
</cp:coreProperties>
</file>