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Completamente Logrado</w:t>
            </w:r>
            <w:r w:rsidDel="00000000" w:rsidR="00000000" w:rsidRPr="00000000">
              <w:rPr>
                <w:rFonts w:ascii="Calibri" w:cs="Calibri" w:eastAsia="Calibri" w:hAnsi="Calibri"/>
                <w:b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Logrado</w:t>
            </w:r>
            <w:r w:rsidDel="00000000" w:rsidR="00000000" w:rsidRPr="00000000">
              <w:rPr>
                <w:rFonts w:ascii="Calibri" w:cs="Calibri" w:eastAsia="Calibri" w:hAnsi="Calibri"/>
                <w:b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99DpEsg2TX4a30wpcKQGAAi5kQ==">CgMxLjA4AHIhMUtMeVROMzhHT21uRFEydGp4NUg0T1hnRkdaWW85UzRr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