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nary>
          <m:naryPr>
            <m:chr m:val="∑"/>
            <m:limLoc m:val="undOvr"/>
            <m:subHide m:val="1"/>
            <m:supHide m:val="1"/>
          </m:naryPr>
          <m:sub/>
          <m:sup/>
          <m:e/>
        </m:nary>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nary>
              <m:naryPr>
                <m:chr m:val="∑"/>
                <m:limLoc m:val="undOvr"/>
              </m:naryPr>
              <m:sub>
                <m:r>
                  <m:t xml:space="preserve">j</m:t>
                </m:r>
                <m:r>
                  <m:t xml:space="preserve">=</m:t>
                </m:r>
                <m:r>
                  <m:t xml:space="preserve">1</m:t>
                </m:r>
              </m:sub>
              <m:sup>
                <m:r>
                  <m:t xml:space="preserve">N</m:t>
                </m:r>
              </m:sup>
              <m:e/>
            </m:nary>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nary>
          <m:naryPr>
            <m:chr m:val="∫"/>
            <m:limLoc m:val="subSup"/>
            <m:subHide m:val="1"/>
            <m:supHide m:val="1"/>
          </m:naryPr>
          <m:sub/>
          <m:sup/>
          <m:e/>
        </m:nary>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nary>
              <m:naryPr>
                <m:chr m:val="∫"/>
                <m:limLoc m:val="subSup"/>
                <m:subHide m:val="1"/>
                <m:supHide m:val="1"/>
              </m:naryPr>
              <m:sub/>
              <m:sup/>
              <m:e/>
            </m:nary>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nary>
                  <m:naryPr>
                    <m:chr m:val="∫"/>
                    <m:limLoc m:val="subSup"/>
                    <m:subHide m:val="1"/>
                    <m:supHide m:val="1"/>
                  </m:naryPr>
                  <m:sub/>
                  <m:sup/>
                  <m:e/>
                </m:nary>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t xml:space="preserve">.</w:t>
      </w:r>
    </w:p>
    <w:p>
      <w:r>
        <w:t xml:space="preserve">Son araştırmalar, çok dilli LLM'lerin içsel temsillerini anlamak için Çapraz-Katman Dönüştürücüleri (Cross-Layer Transcoders - CLTs) kullanmaktadır</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t xml:space="preserve">. Ancak bu testin çok dilli türevleri (örneğin EU20-MMLU), Avrupa dilleri veya Hint dillerine çevrildiğinde performansta keskin düşüşler gözlenmektedir</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