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rPr>
          <w:vertAlign w:val="superscript"/>
          <w:color w:val="1A73E8"/>
          <w:sz w:val="16"/>
        </w:rPr>
        <w:t xml:space="preserve">[1]</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rPr>
          <w:vertAlign w:val="superscript"/>
          <w:color w:val="1A73E8"/>
          <w:sz w:val="16"/>
        </w:rPr>
        <w:t xml:space="preserve">[4]</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rPr>
          <w:vertAlign w:val="superscript"/>
          <w:color w:val="1A73E8"/>
          <w:sz w:val="16"/>
        </w:rPr>
        <w:t xml:space="preserve">[5]</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rPr>
          <w:vertAlign w:val="superscript"/>
          <w:color w:val="1A73E8"/>
          <w:sz w:val="16"/>
        </w:rPr>
        <w:t xml:space="preserve">[8]</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r>
        <w:rPr>
          <w:vertAlign w:val="superscript"/>
          <w:color w:val="1A73E8"/>
          <w:sz w:val="16"/>
        </w:rPr>
        <w:t xml:space="preserve">[8]</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rPr>
          <w:vertAlign w:val="superscript"/>
          <w:color w:val="1A73E8"/>
          <w:sz w:val="16"/>
        </w:rPr>
        <w:t xml:space="preserve">[10]</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r>
          <m:rPr>
            <m:sty m:val="p"/>
          </m:rPr>
          <m:t xml:space="preserve">∑</m:t>
        </m:r>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limUpp>
              <m:e>
                <m:limLow>
                  <m:e>
                    <m:r>
                      <m:rPr>
                        <m:sty m:val="p"/>
                      </m:rPr>
                      <m:t xml:space="preserve">∑</m:t>
                    </m:r>
                  </m:e>
                  <m:lim>
                    <m:r>
                      <m:t xml:space="preserve">j</m:t>
                    </m:r>
                    <m:r>
                      <m:t xml:space="preserve">=</m:t>
                    </m:r>
                    <m:r>
                      <m:t xml:space="preserve">1</m:t>
                    </m:r>
                  </m:lim>
                </m:limLow>
              </m:e>
              <m:lim>
                <m:r>
                  <m:t xml:space="preserve">N</m:t>
                </m:r>
              </m:lim>
            </m:limUpp>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r>
          <m:rPr>
            <m:sty m:val="p"/>
          </m:rPr>
          <m:t xml:space="preserve">∫</m:t>
        </m:r>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r>
              <m:rPr>
                <m:sty m:val="p"/>
              </m:rPr>
              <m:t xml:space="preserve">∫</m:t>
            </m:r>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r>
                  <m:rPr>
                    <m:sty m:val="p"/>
                  </m:rPr>
                  <m:t xml:space="preserve">∫</m:t>
                </m:r>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rPr>
          <w:vertAlign w:val="superscript"/>
          <w:color w:val="1A73E8"/>
          <w:sz w:val="16"/>
        </w:rPr>
        <w:t xml:space="preserve">[6]</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rPr>
          <w:vertAlign w:val="superscript"/>
          <w:color w:val="1A73E8"/>
          <w:sz w:val="16"/>
        </w:rPr>
        <w:t xml:space="preserve">[12]</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rPr>
          <w:vertAlign w:val="superscript"/>
          <w:color w:val="1A73E8"/>
          <w:sz w:val="16"/>
        </w:rPr>
        <w:t xml:space="preserve">[12]</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rPr>
          <w:vertAlign w:val="superscript"/>
          <w:color w:val="1A73E8"/>
          <w:sz w:val="16"/>
        </w:rPr>
        <w:t xml:space="preserve">[13]</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rPr>
          <w:vertAlign w:val="superscript"/>
          <w:color w:val="1A73E8"/>
          <w:sz w:val="16"/>
        </w:rPr>
        <w:t xml:space="preserve">[16]</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rPr>
          <w:vertAlign w:val="superscript"/>
          <w:color w:val="1A73E8"/>
          <w:sz w:val="16"/>
        </w:rPr>
        <w:t xml:space="preserve">[19]</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rPr>
          <w:vertAlign w:val="superscript"/>
          <w:color w:val="1A73E8"/>
          <w:sz w:val="16"/>
        </w:rPr>
        <w:t xml:space="preserve">[22]</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rPr>
          <w:vertAlign w:val="superscript"/>
          <w:color w:val="1A73E8"/>
          <w:sz w:val="16"/>
        </w:rPr>
        <w:t xml:space="preserve">[22]</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rPr>
          <w:vertAlign w:val="superscript"/>
          <w:color w:val="1A73E8"/>
          <w:sz w:val="16"/>
        </w:rPr>
        <w:t xml:space="preserve">[24]</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rPr>
          <w:vertAlign w:val="superscript"/>
          <w:color w:val="1A73E8"/>
          <w:sz w:val="16"/>
        </w:rPr>
        <w:t xml:space="preserve">[24]</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rPr>
          <w:vertAlign w:val="superscript"/>
          <w:color w:val="1A73E8"/>
          <w:sz w:val="16"/>
        </w:rPr>
        <w:t xml:space="preserve">[28]</w:t>
      </w:r>
      <w:r>
        <w:t xml:space="preserve">.</w:t>
      </w:r>
    </w:p>
    <w:p>
      <w:r>
        <w:t xml:space="preserve">Son araştırmalar, çok dilli LLM'lerin içsel temsillerini anlamak için Çapraz-Katman Dönüştürücüleri (Cross-Layer Transcoders - CLTs) kullanmaktadır</w:t>
      </w:r>
      <w:r>
        <w:rPr>
          <w:vertAlign w:val="superscript"/>
          <w:color w:val="1A73E8"/>
          <w:sz w:val="16"/>
        </w:rPr>
        <w:t xml:space="preserve">[31]</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rPr>
          <w:vertAlign w:val="superscript"/>
          <w:color w:val="1A73E8"/>
          <w:sz w:val="16"/>
        </w:rPr>
        <w:t xml:space="preserve">[31]</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rPr>
          <w:vertAlign w:val="superscript"/>
          <w:color w:val="1A73E8"/>
          <w:sz w:val="16"/>
        </w:rPr>
        <w:t xml:space="preserve">[33]</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rPr>
          <w:vertAlign w:val="superscript"/>
          <w:color w:val="1A73E8"/>
          <w:sz w:val="16"/>
        </w:rPr>
        <w:t xml:space="preserve">[35]</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rPr>
          <w:vertAlign w:val="superscript"/>
          <w:color w:val="1A73E8"/>
          <w:sz w:val="16"/>
        </w:rPr>
        <w:t xml:space="preserve">[37]</w:t>
      </w:r>
      <w:r>
        <w:t xml:space="preserve">. Ancak bu testin çok dilli türevleri (örneğin EU20-MMLU), Avrupa dilleri veya Hint dillerine çevrildiğinde performansta keskin düşüşler gözlenmektedir</w:t>
      </w:r>
      <w:r>
        <w:rPr>
          <w:vertAlign w:val="superscript"/>
          <w:color w:val="1A73E8"/>
          <w:sz w:val="16"/>
        </w:rPr>
        <w:t xml:space="preserve">[38]</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rPr>
          <w:vertAlign w:val="superscript"/>
          <w:color w:val="1A73E8"/>
          <w:sz w:val="16"/>
        </w:rPr>
        <w:t xml:space="preserve">[40]</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rPr>
          <w:vertAlign w:val="superscript"/>
          <w:color w:val="1A73E8"/>
          <w:sz w:val="16"/>
        </w:rPr>
        <w:t xml:space="preserve">[43]</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rPr>
          <w:vertAlign w:val="superscript"/>
          <w:color w:val="1A73E8"/>
          <w:sz w:val="16"/>
        </w:rPr>
        <w:t xml:space="preserve">[45]</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rPr>
          <w:vertAlign w:val="superscript"/>
          <w:color w:val="1A73E8"/>
          <w:sz w:val="16"/>
        </w:rPr>
        <w:t xml:space="preserve">[46]</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rPr>
          <w:vertAlign w:val="superscript"/>
          <w:color w:val="1A73E8"/>
          <w:sz w:val="16"/>
        </w:rPr>
        <w:t xml:space="preserve">[45]</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rPr>
          <w:vertAlign w:val="superscript"/>
          <w:color w:val="1A73E8"/>
          <w:sz w:val="16"/>
        </w:rPr>
        <w:t xml:space="preserve">[47]</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rPr>
          <w:vertAlign w:val="superscript"/>
          <w:color w:val="1A73E8"/>
          <w:sz w:val="16"/>
        </w:rPr>
        <w:t xml:space="preserve">[27]</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rPr>
          <w:vertAlign w:val="superscript"/>
          <w:color w:val="1A73E8"/>
          <w:sz w:val="16"/>
        </w:rPr>
        <w:t xml:space="preserve">[49]</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rPr>
                <w:vertAlign w:val="superscript"/>
                <w:color w:val="1A73E8"/>
                <w:sz w:val="16"/>
              </w:rPr>
              <w:t xml:space="preserve">[13]</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rPr>
                <w:vertAlign w:val="superscript"/>
                <w:color w:val="1A73E8"/>
                <w:sz w:val="16"/>
              </w:rPr>
              <w:t xml:space="preserve">[17]</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rPr>
                <w:vertAlign w:val="superscript"/>
                <w:color w:val="1A73E8"/>
                <w:sz w:val="16"/>
              </w:rPr>
              <w:t xml:space="preserve">[20]</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rPr>
                <w:vertAlign w:val="superscript"/>
                <w:color w:val="1A73E8"/>
                <w:sz w:val="16"/>
              </w:rPr>
              <w:t xml:space="preserve">[24]</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p>
      <w:pPr>
        <w:pBdr>
          <w:bottom w:val="single" w:sz="6" w:space="1" w:color="CCCCCC"/>
        </w:pBdr>
      </w:pPr>
    </w:p>
    <w:p>
      <w:pPr>
        <w:pStyle w:val="Heading2"/>
      </w:pPr>
      <w:r>
        <w:rPr>
          <w:b/>
        </w:rPr>
        <w:t xml:space="preserve">Sources</w:t>
      </w:r>
    </w:p>
    <w:p>
      <w:pPr>
        <w:ind w:left="240"/>
      </w:pPr>
      <w:r>
        <w:t xml:space="preserve">[1] Neural Machine Translation by Jointly Learning to Align and Translate | BibSonomy — </w:t>
      </w:r>
      <w:r>
        <w:rPr>
          <w:color w:val="1A73E8"/>
          <w:u w:val="single"/>
        </w:rPr>
        <w:t xml:space="preserve">https://www.bibsonomy.org/bibtex/2713375898fd7d2477f6ab6dc3dd66c2c/albinzehe</w:t>
      </w:r>
    </w:p>
    <w:p>
      <w:pPr>
        <w:ind w:left="240"/>
      </w:pPr>
      <w:r>
        <w:t xml:space="preserve">[4] Neural Machine Translation by Jointly Learning to Align and Translate - ResearchGate — </w:t>
      </w:r>
      <w:r>
        <w:rPr>
          <w:color w:val="1A73E8"/>
          <w:u w:val="single"/>
        </w:rPr>
        <w:t xml:space="preserve">https://www.researchgate.net/publication/265252627_Neural_Machine_Translation_by_Jointly_Learning_to_Align_and_Translate</w:t>
      </w:r>
    </w:p>
    <w:p>
      <w:pPr>
        <w:ind w:left="240"/>
      </w:pPr>
      <w:r>
        <w:t xml:space="preserve">[5] Deep Learning by Ian Goodfellow (71 results) - AbeBooks — </w:t>
      </w:r>
      <w:r>
        <w:rPr>
          <w:color w:val="1A73E8"/>
          <w:u w:val="single"/>
        </w:rPr>
        <w:t xml:space="preserve">https://www.abebooks.com/book-search/title/deep-learning/author/ian-goodfellow/</w:t>
      </w:r>
    </w:p>
    <w:p>
      <w:pPr>
        <w:ind w:left="240"/>
      </w:pPr>
      <w:r>
        <w:t xml:space="preserve">[6] Ian Goodfellow, Yoshua Bengio, and Aaron Courville: Deep learning: The MIT Press, 2016, 800 pp, ISBN: 0262035618 - ResearchGate — </w:t>
      </w:r>
      <w:r>
        <w:rPr>
          <w:color w:val="1A73E8"/>
          <w:u w:val="single"/>
        </w:rPr>
        <w:t xml:space="preserve">https://www.researchgate.net/publication/320703571_Ian_Goodfellow_Yoshua_Bengio_and_Aaron_Courville_Deep_learning_The_MIT_Press_2016_800_pp_ISBN_0262035618</w:t>
      </w:r>
    </w:p>
    <w:p>
      <w:pPr>
        <w:ind w:left="240"/>
      </w:pPr>
      <w:r>
        <w:t xml:space="preserve">[8] Attention Is All You Need - Wikipedia — </w:t>
      </w:r>
      <w:r>
        <w:rPr>
          <w:color w:val="1A73E8"/>
          <w:u w:val="single"/>
        </w:rPr>
        <w:t xml:space="preserve">https://en.wikipedia.org/wiki/Attention_Is_All_You_Need</w:t>
      </w:r>
    </w:p>
    <w:p>
      <w:pPr>
        <w:ind w:left="240"/>
      </w:pPr>
      <w:r>
        <w:t xml:space="preserve">[10] [1706.03762] Attention Is All You Need - arXiv — </w:t>
      </w:r>
      <w:r>
        <w:rPr>
          <w:color w:val="1A73E8"/>
          <w:u w:val="single"/>
        </w:rPr>
        <w:t xml:space="preserve">https://arxiv.org/abs/1706.03762</w:t>
      </w:r>
    </w:p>
    <w:p>
      <w:pPr>
        <w:ind w:left="240"/>
      </w:pPr>
      <w:r>
        <w:t xml:space="preserve">[12] FLASHATTENTION: Fast and Memory-Efficient Exact Attention with IO-Awareness - OpenReview — </w:t>
      </w:r>
      <w:r>
        <w:rPr>
          <w:color w:val="1A73E8"/>
          <w:u w:val="single"/>
        </w:rPr>
        <w:t xml:space="preserve">https://openreview.net/references/pdf?id=_MLiUszuOPD</w:t>
      </w:r>
    </w:p>
    <w:p>
      <w:pPr>
        <w:ind w:left="240"/>
      </w:pPr>
      <w:r>
        <w:t xml:space="preserve">[13] FlashAttention: Fast and Memory-Efficient Exact Attention with IO-Awareness - arXiv — </w:t>
      </w:r>
      <w:r>
        <w:rPr>
          <w:color w:val="1A73E8"/>
          <w:u w:val="single"/>
        </w:rPr>
        <w:t xml:space="preserve">https://arxiv.org/abs/2205.14135</w:t>
      </w:r>
    </w:p>
    <w:p>
      <w:pPr>
        <w:ind w:left="240"/>
      </w:pPr>
      <w:r>
        <w:t xml:space="preserve">[16] FlashAttention-2: Faster Attention with Better Parallelism and Work Partitioning | OpenReview — </w:t>
      </w:r>
      <w:r>
        <w:rPr>
          <w:color w:val="1A73E8"/>
          <w:u w:val="single"/>
        </w:rPr>
        <w:t xml:space="preserve">https://openreview.net/forum?id=mZn2Xyh9Ec&amp;noteId=bX7ADEhzWC</w:t>
      </w:r>
    </w:p>
    <w:p>
      <w:pPr>
        <w:ind w:left="240"/>
      </w:pPr>
      <w:r>
        <w:t xml:space="preserve">[17] FlashAttention-2: Faster Attention with Better Parallelism and Work Partitioning - Tri Dao — </w:t>
      </w:r>
      <w:r>
        <w:rPr>
          <w:color w:val="1A73E8"/>
          <w:u w:val="single"/>
        </w:rPr>
        <w:t xml:space="preserve">https://tridao.me/publications/flash2/flash2.pdf</w:t>
      </w:r>
    </w:p>
    <w:p>
      <w:pPr>
        <w:ind w:left="240"/>
      </w:pPr>
      <w:r>
        <w:t xml:space="preserve">[19] FlashAttention-3: Fast and Accurate Attention with Asynchrony and Low-precision - Tri Dao — </w:t>
      </w:r>
      <w:r>
        <w:rPr>
          <w:color w:val="1A73E8"/>
          <w:u w:val="single"/>
        </w:rPr>
        <w:t xml:space="preserve">https://tridao.me/publications/flash3/flash3.pdf</w:t>
      </w:r>
    </w:p>
    <w:p>
      <w:pPr>
        <w:ind w:left="240"/>
      </w:pPr>
      <w:r>
        <w:t xml:space="preserve">[20] FlashAttention-3: Fast and Accurate Attention with Asynchrony and Low-precision - arXiv — </w:t>
      </w:r>
      <w:r>
        <w:rPr>
          <w:color w:val="1A73E8"/>
          <w:u w:val="single"/>
        </w:rPr>
        <w:t xml:space="preserve">https://arxiv.org/abs/2407.08608</w:t>
      </w:r>
    </w:p>
    <w:p>
      <w:pPr>
        <w:ind w:left="240"/>
      </w:pPr>
      <w:r>
        <w:t xml:space="preserve">[22] Fast Transformer Decoding: One Write-Head is All You Need | Request PDF - ResearchGate — </w:t>
      </w:r>
      <w:r>
        <w:rPr>
          <w:color w:val="1A73E8"/>
          <w:u w:val="single"/>
        </w:rPr>
        <w:t xml:space="preserve">https://www.researchgate.net/publication/337074940_Fast_Transformer_Decoding_One_Write-Head_is_All_You_Need</w:t>
      </w:r>
    </w:p>
    <w:p>
      <w:pPr>
        <w:ind w:left="240"/>
      </w:pPr>
      <w:r>
        <w:t xml:space="preserve">[24] GQA: Training Generalized Multi-Query Transformer Models from Multi-Head Checkpoints — </w:t>
      </w:r>
      <w:r>
        <w:rPr>
          <w:color w:val="1A73E8"/>
          <w:u w:val="single"/>
        </w:rPr>
        <w:t xml:space="preserve">https://aclanthology.org/2023.emnlp-main.298/</w:t>
      </w:r>
    </w:p>
    <w:p>
      <w:pPr>
        <w:ind w:left="240"/>
      </w:pPr>
      <w:r>
        <w:t xml:space="preserve">[27] LLaMA 3 vs. State-of-the-Art Large Language Models: Performance in Detecting Nuanced Fake News - MDPI — </w:t>
      </w:r>
      <w:r>
        <w:rPr>
          <w:color w:val="1A73E8"/>
          <w:u w:val="single"/>
        </w:rPr>
        <w:t xml:space="preserve">https://www.mdpi.com/2073-431X/13/11/292</w:t>
      </w:r>
    </w:p>
    <w:p>
      <w:pPr>
        <w:ind w:left="240"/>
      </w:pPr>
      <w:r>
        <w:t xml:space="preserve">[28] Natural Language Processing with Transformers, Revised Edition - Ingram Academic — </w:t>
      </w:r>
      <w:r>
        <w:rPr>
          <w:color w:val="1A73E8"/>
          <w:u w:val="single"/>
        </w:rPr>
        <w:t xml:space="preserve">https://ingramacademic.com/products/natural-language-processing-with-transformers-revised-edition-9781098136796</w:t>
      </w:r>
    </w:p>
    <w:p>
      <w:pPr>
        <w:ind w:left="240"/>
      </w:pPr>
      <w:r>
        <w:t xml:space="preserve">[31] Tracing Multilingual Representations in LLMs with Cross-Layer Transcoders - arXiv — </w:t>
      </w:r>
      <w:r>
        <w:rPr>
          <w:color w:val="1A73E8"/>
          <w:u w:val="single"/>
        </w:rPr>
        <w:t xml:space="preserve">https://arxiv.org/html/2511.10840v2</w:t>
      </w:r>
    </w:p>
    <w:p>
      <w:pPr>
        <w:ind w:left="240"/>
      </w:pPr>
      <w:r>
        <w:t xml:space="preserve">[33] (PDF) Speech and Language Processing (second edition) Daniel Jurafsky and James H. Martin (Stanford University and University of Colorado at Boulder) Pearson Prentice Hall, 2009, xxxi+988 pp; hardbound, ISBN 978-0-13-187321-6, $115.00 - ResearchGate — </w:t>
      </w:r>
      <w:r>
        <w:rPr>
          <w:color w:val="1A73E8"/>
          <w:u w:val="single"/>
        </w:rPr>
        <w:t xml:space="preserve">https://www.researchgate.net/publication/220355425_Speech_and_Language_Processing_second_edition_Daniel_Jurafsky_and_James_H_Martin_Stanford_University_and_University_of_Colorado_at_Boulder_Pearson_Prentice_Hall_2009_xxxi988_pp_hardbound_ISBN_978-0-13</w:t>
      </w:r>
    </w:p>
    <w:p>
      <w:pPr>
        <w:ind w:left="240"/>
      </w:pPr>
      <w:r>
        <w:t xml:space="preserve">[35] Measuring Massive Multitask Language Understanding - ResearchGate — </w:t>
      </w:r>
      <w:r>
        <w:rPr>
          <w:color w:val="1A73E8"/>
          <w:u w:val="single"/>
        </w:rPr>
        <w:t xml:space="preserve">https://www.researchgate.net/publication/344159828_Measuring_Massive_Multitask_Language_Understanding</w:t>
      </w:r>
    </w:p>
    <w:p>
      <w:pPr>
        <w:ind w:left="240"/>
      </w:pPr>
      <w:r>
        <w:t xml:space="preserve">[37] A benchmark of expert-level academic questions to assess AI capabilities - AVESİS — </w:t>
      </w:r>
      <w:r>
        <w:rPr>
          <w:color w:val="1A73E8"/>
          <w:u w:val="single"/>
        </w:rPr>
        <w:t xml:space="preserve">https://avesis.ankara.edu.tr/yayin/cc54c2d8-c469-4461-ba94-762be7025672/a-benchmark-of-expert-level-academic-questions-to-assess-ai-capabilities/document.pdf</w:t>
      </w:r>
    </w:p>
    <w:p>
      <w:pPr>
        <w:ind w:left="240"/>
      </w:pPr>
      <w:r>
        <w:t xml:space="preserve">[38] [PDF] Towards Multilingual LLM Evaluation for European Languages | Semantic Scholar — </w:t>
      </w:r>
      <w:r>
        <w:rPr>
          <w:color w:val="1A73E8"/>
          <w:u w:val="single"/>
        </w:rPr>
        <w:t xml:space="preserve">https://www.semanticscholar.org/paper/Towards-Multilingual-LLM-Evaluation-for-European-Thellmann-Stadler/0bbef27ae2d4df771b19330a2f4c59070b45cd6d</w:t>
      </w:r>
    </w:p>
    <w:p>
      <w:pPr>
        <w:ind w:left="240"/>
      </w:pPr>
      <w:r>
        <w:t xml:space="preserve">[40] Knowledge Distillation for Embeddings of Low-Resource Turkic Family Languages - Gazi University Journal of Science Part A: Engineering and Innovation - DergiPark — </w:t>
      </w:r>
      <w:r>
        <w:rPr>
          <w:color w:val="1A73E8"/>
          <w:u w:val="single"/>
        </w:rPr>
        <w:t xml:space="preserve">https://dergipark.org.tr/en/pub/gujsa/article/1844025</w:t>
      </w:r>
    </w:p>
    <w:p>
      <w:pPr>
        <w:ind w:left="240"/>
      </w:pPr>
      <w:r>
        <w:t xml:space="preserve">[43] [2412.08274] 2M-BELEBELE: Highly Multilingual Speech and American Sign Language Comprehension Dataset - arXiv — </w:t>
      </w:r>
      <w:r>
        <w:rPr>
          <w:color w:val="1A73E8"/>
          <w:u w:val="single"/>
        </w:rPr>
        <w:t xml:space="preserve">https://arxiv.org/abs/2412.08274</w:t>
      </w:r>
    </w:p>
    <w:p>
      <w:pPr>
        <w:ind w:left="240"/>
      </w:pPr>
      <w:r>
        <w:t xml:space="preserve">[45] Evaluating Tokenizer Performance of Large Language Models Across Official Indian Languages - arXiv — </w:t>
      </w:r>
      <w:r>
        <w:rPr>
          <w:color w:val="1A73E8"/>
          <w:u w:val="single"/>
        </w:rPr>
        <w:t xml:space="preserve">https://arxiv.org/pdf/2411.12240</w:t>
      </w:r>
    </w:p>
    <w:p>
      <w:pPr>
        <w:ind w:left="240"/>
      </w:pPr>
      <w:r>
        <w:t xml:space="preserve">[46] Evaluating Tokenizer Performance of Large Language Models Across Official Indian Languages - arXiv — </w:t>
      </w:r>
      <w:r>
        <w:rPr>
          <w:color w:val="1A73E8"/>
          <w:u w:val="single"/>
        </w:rPr>
        <w:t xml:space="preserve">https://arxiv.org/html/2411.12240v1</w:t>
      </w:r>
    </w:p>
    <w:p>
      <w:pPr>
        <w:ind w:left="240"/>
      </w:pPr>
      <w:r>
        <w:t xml:space="preserve">[47] Tokenization efficiency of current foundational large language models for the Ukrainian language - Frontiers — </w:t>
      </w:r>
      <w:r>
        <w:rPr>
          <w:color w:val="1A73E8"/>
          <w:u w:val="single"/>
        </w:rPr>
        <w:t xml:space="preserve">https://www.frontiersin.org/journals/artificial-intelligence/articles/10.3389/frai.2025.1538165/full</w:t>
      </w:r>
    </w:p>
    <w:p>
      <w:pPr>
        <w:ind w:left="240"/>
      </w:pPr>
      <w:r>
        <w:t xml:space="preserve">[49] Quantifying Gender Bias in Large Language Models Using Information-Theoretic and Statistical Analysis - ResearchGate — </w:t>
      </w:r>
      <w:r>
        <w:rPr>
          <w:color w:val="1A73E8"/>
          <w:u w:val="single"/>
        </w:rPr>
        <w:t xml:space="preserve">https://www.researchgate.net/publication/391298386_Quantifying_Gender_Bias_in_Large_Language_Models_Using_Information-Theoretic_and_Statistical_Analysis</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cp:coreProperties>
</file>