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A2D30"/>
        </w:rPr>
        <w:t>Clinical Medicine and Surgery I · Exam 6 — Clin Med Pro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A2D30"/>
        </w:rPr>
        <w:t>How to use this guide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Dr. Carter’s </w:t>
            </w:r>
            <w:r>
              <w:rPr>
                <w:b/>
                <w:i w:val="0"/>
              </w:rPr>
              <w:t>Clin Med Pro Study Tip</w:t>
            </w:r>
            <w:r>
              <w:rPr>
                <w:b w:val="0"/>
                <w:i w:val="0"/>
              </w:rPr>
              <w:t xml:space="preserve"> (Hypotension deck, slide 7) lists what to learn for every condition. Each card below answers those ten fields:</w:t>
            </w:r>
          </w:p>
          <w:p>
            <w:pPr>
              <w:pStyle w:val="ListNumber"/>
              <w:spacing w:after="40"/>
            </w:pPr>
            <w:r>
              <w:rPr>
                <w:b w:val="0"/>
                <w:i w:val="0"/>
                <w:sz w:val="20"/>
              </w:rPr>
              <w:t>Name of Condition</w:t>
            </w:r>
          </w:p>
          <w:p>
            <w:pPr>
              <w:pStyle w:val="ListNumber"/>
              <w:spacing w:after="40"/>
            </w:pPr>
            <w:r>
              <w:rPr>
                <w:b w:val="0"/>
                <w:i w:val="0"/>
                <w:sz w:val="20"/>
              </w:rPr>
              <w:t>Definition</w:t>
            </w:r>
          </w:p>
          <w:p>
            <w:pPr>
              <w:pStyle w:val="ListNumber"/>
              <w:spacing w:after="40"/>
            </w:pPr>
            <w:r>
              <w:rPr>
                <w:b w:val="0"/>
                <w:i w:val="0"/>
                <w:sz w:val="20"/>
              </w:rPr>
              <w:t>Etiology (cause)</w:t>
            </w:r>
          </w:p>
          <w:p>
            <w:pPr>
              <w:pStyle w:val="ListNumber"/>
              <w:spacing w:after="40"/>
            </w:pPr>
            <w:r>
              <w:rPr>
                <w:b w:val="0"/>
                <w:i w:val="0"/>
                <w:sz w:val="20"/>
              </w:rPr>
              <w:t>Epidemiology (who)</w:t>
            </w:r>
          </w:p>
          <w:p>
            <w:pPr>
              <w:pStyle w:val="ListNumber"/>
              <w:spacing w:after="40"/>
            </w:pPr>
            <w:r>
              <w:rPr>
                <w:b w:val="0"/>
                <w:i w:val="0"/>
                <w:sz w:val="20"/>
              </w:rPr>
              <w:t>Risk Factors</w:t>
            </w:r>
          </w:p>
          <w:p>
            <w:pPr>
              <w:pStyle w:val="ListNumber"/>
              <w:spacing w:after="40"/>
            </w:pPr>
            <w:r>
              <w:rPr>
                <w:b w:val="0"/>
                <w:i w:val="0"/>
                <w:sz w:val="20"/>
              </w:rPr>
              <w:t>Pathology</w:t>
            </w:r>
          </w:p>
          <w:p>
            <w:pPr>
              <w:pStyle w:val="ListNumber"/>
              <w:spacing w:after="40"/>
            </w:pPr>
            <w:r>
              <w:rPr>
                <w:b w:val="0"/>
                <w:i w:val="0"/>
                <w:sz w:val="20"/>
              </w:rPr>
              <w:t>Clinical Manifestation</w:t>
            </w:r>
          </w:p>
          <w:p>
            <w:pPr>
              <w:pStyle w:val="ListNumber"/>
              <w:spacing w:after="40"/>
            </w:pPr>
            <w:r>
              <w:rPr>
                <w:b w:val="0"/>
                <w:i w:val="0"/>
                <w:sz w:val="20"/>
              </w:rPr>
              <w:t>Diagnosis</w:t>
            </w:r>
          </w:p>
          <w:p>
            <w:pPr>
              <w:pStyle w:val="ListNumber"/>
              <w:spacing w:after="40"/>
            </w:pPr>
            <w:r>
              <w:rPr>
                <w:b w:val="0"/>
                <w:i w:val="0"/>
                <w:sz w:val="20"/>
              </w:rPr>
              <w:t>Treatment/Therapy</w:t>
            </w:r>
          </w:p>
          <w:p>
            <w:pPr>
              <w:pStyle w:val="ListNumber"/>
              <w:spacing w:after="40"/>
            </w:pPr>
            <w:r>
              <w:rPr>
                <w:b w:val="0"/>
                <w:i w:val="0"/>
                <w:sz w:val="20"/>
              </w:rPr>
              <w:t>Mortality ★</w:t>
            </w:r>
          </w:p>
          <w:p>
            <w:pPr>
              <w:spacing w:after="120"/>
            </w:pPr>
            <w:r>
              <w:rPr>
                <w:b w:val="0"/>
                <w:i w:val="0"/>
              </w:rPr>
              <w:t xml:space="preserve">Every field comes from the lecture slides only. Where a deck is silent the card says </w:t>
            </w:r>
            <w:r>
              <w:rPr>
                <w:b w:val="0"/>
                <w:i/>
              </w:rPr>
              <w:t>Not covered in the lecture</w:t>
            </w:r>
            <w:r>
              <w:rPr>
                <w:b w:val="0"/>
                <w:i w:val="0"/>
              </w:rPr>
              <w:t xml:space="preserve"> rather than filling the gap from elsewhere (11 of 70 fields in this exam; Mortality alone: 4 of 7). Slide numbers follow each field. Cards open closed; tap one to read it.</w:t>
            </w:r>
          </w:p>
          <w:p>
            <w:pPr>
              <w:spacing w:after="120"/>
            </w:pPr>
            <w:r>
              <w:rPr>
                <w:b w:val="0"/>
                <w:i w:val="0"/>
              </w:rPr>
              <w:t xml:space="preserve">The ★ on </w:t>
            </w:r>
            <w:r>
              <w:rPr>
                <w:b/>
                <w:i w:val="0"/>
              </w:rPr>
              <w:t>Mortality</w:t>
            </w:r>
            <w:r>
              <w:rPr>
                <w:b w:val="0"/>
                <w:i w:val="0"/>
              </w:rPr>
              <w:t xml:space="preserve"> is on the original study-tip slide: fill it when a figure exists. A </w:t>
            </w:r>
            <w:r>
              <w:rPr>
                <w:b w:val="0"/>
                <w:i w:val="0"/>
                <w:highlight w:val="yellow"/>
              </w:rPr>
              <w:t>★ highlighted phrase</w:t>
            </w:r>
            <w:r>
              <w:rPr>
                <w:b w:val="0"/>
                <w:i w:val="0"/>
              </w:rPr>
              <w:t xml:space="preserve"> inside a field is a fact the professor emphasized in the lecture recording, carried over from this exam’s study guide.</w:t>
            </w:r>
          </w:p>
        </w:tc>
      </w:tr>
    </w:tbl>
    <w:p>
      <w:pPr>
        <w:spacing w:after="80"/>
      </w:pPr>
    </w:p>
    <w:p>
      <w:pPr>
        <w:pStyle w:val="Heading1"/>
        <w:spacing w:before="280" w:after="100"/>
      </w:pPr>
      <w:r>
        <w:rPr>
          <w:rFonts w:ascii="Georgia" w:hAnsi="Georgia"/>
          <w:color w:val="7A2D30"/>
        </w:rPr>
        <w:t>Lecture 33 · Oxygen Delivery</w:t>
      </w:r>
    </w:p>
    <w:p>
      <w:pPr>
        <w:spacing w:after="120"/>
      </w:pPr>
      <w:r>
        <w:rPr>
          <w:b w:val="0"/>
          <w:i w:val="0"/>
        </w:rPr>
        <w:t>Lauren Reynolds, MSPA, PA-C · 0 conditions · source: 35. Oxygen Delivery 2026.pptx</w:t>
      </w:r>
    </w:p>
    <w:p>
      <w:pPr>
        <w:spacing w:after="120"/>
      </w:pPr>
      <w:r>
        <w:rPr>
          <w:b/>
          <w:i w:val="0"/>
        </w:rPr>
        <w:t>Note:</w:t>
      </w:r>
      <w:r>
        <w:rPr>
          <w:b w:val="0"/>
          <w:i w:val="0"/>
        </w:rPr>
        <w:t xml:space="preserve"> Oxygen delivery is a therapy lecture, not a disease lecture, so it has no condition cards: its indications, devices, home oxygen qualification and safety teaching are in section 1 of the Exam 6 study guide and on the cram sheet. The deck file is numbered 35; the calendar calls it Lecture 33.</w:t>
      </w:r>
    </w:p>
    <w:p>
      <w:pPr>
        <w:pStyle w:val="Heading1"/>
        <w:spacing w:before="280" w:after="100"/>
      </w:pPr>
      <w:r>
        <w:rPr>
          <w:rFonts w:ascii="Georgia" w:hAnsi="Georgia"/>
          <w:color w:val="7A2D30"/>
        </w:rPr>
        <w:t>Lecture 34 · Acid-Base Part I</w:t>
      </w:r>
    </w:p>
    <w:p>
      <w:pPr>
        <w:spacing w:after="120"/>
      </w:pPr>
      <w:r>
        <w:rPr>
          <w:b w:val="0"/>
          <w:i w:val="0"/>
        </w:rPr>
        <w:t>Megan B. Finck, MMS, PA-C · 4 conditions · source: PAJ5500 CMSI Acid Base MBF 2026sc.pptx</w:t>
      </w:r>
    </w:p>
    <w:p>
      <w:pPr>
        <w:spacing w:after="120"/>
      </w:pPr>
      <w:r>
        <w:rPr>
          <w:b/>
          <w:i w:val="0"/>
        </w:rPr>
        <w:t>Note:</w:t>
      </w:r>
      <w:r>
        <w:rPr>
          <w:b w:val="0"/>
          <w:i w:val="0"/>
        </w:rPr>
        <w:t xml:space="preserve"> Built from the slides plus the lecture recording: the recording only chooses which facts to star, it adds no content. The four simple disorders are the conditions. The slides give no incidence or mortality figures; the only outcome stated is the unsustainable pH (below 6.7 or above 7.6), kept as the slide prints it. The board cases at the end of the lecture are not in the deck and are not used.</w:t>
      </w:r>
    </w:p>
    <w:p>
      <w:pPr>
        <w:spacing w:after="120"/>
      </w:pPr>
      <w:r>
        <w:rPr>
          <w:b w:val="0"/>
          <w:i w:val="0"/>
        </w:rPr>
        <w:t>Respiratory acidosis</w:t>
      </w:r>
      <w:r>
        <w:rPr>
          <w:b w:val="0"/>
          <w:i w:val="0"/>
        </w:rPr>
        <w:t>★ Professor emphasized</w:t>
      </w:r>
      <w:r>
        <w:rPr>
          <w:b w:val="0"/>
          <w:i w:val="0"/>
        </w:rPr>
        <w:t>2 not covered</w:t>
      </w:r>
    </w:p>
    <w:p>
      <w:pPr>
        <w:spacing w:after="120"/>
      </w:pPr>
      <w:r>
        <w:rPr>
          <w:b w:val="0"/>
          <w:i w:val="0"/>
        </w:rPr>
        <w:t>★ Chronic obstructive pulmonary disease is the first cause to think of; the sleepy, confused patient; acute versus chronic is read from how far the kidneys have compensated; the obesity hypoventilation syndrome triad is a frequent question.</w:t>
      </w:r>
    </w:p>
    <w:p>
      <w:pPr>
        <w:spacing w:after="120"/>
      </w:pPr>
      <w:r>
        <w:rPr>
          <w:b w:val="0"/>
          <w:i w:val="0"/>
        </w:rPr>
        <w:t>Name of Condition</w:t>
      </w:r>
      <w:r>
        <w:rPr>
          <w:b w:val="0"/>
          <w:i w:val="0"/>
        </w:rPr>
        <w:t xml:space="preserve">Respiratory acidosis (acute or chronic) </w:t>
      </w:r>
      <w:r>
        <w:rPr>
          <w:b w:val="0"/>
          <w:i w:val="0"/>
        </w:rPr>
        <w:t>Slide 21</w:t>
      </w:r>
      <w:r>
        <w:rPr>
          <w:b w:val="0"/>
          <w:i w:val="0"/>
        </w:rPr>
        <w:t>Definition</w:t>
      </w:r>
      <w:r>
        <w:rPr>
          <w:b w:val="0"/>
          <w:i w:val="0"/>
        </w:rPr>
        <w:t xml:space="preserve">Hypoventilation raising the partial pressure of carbon dioxide (greater than 40 mm Hg) and causing acidemia (pH below 7.35); may be accompanied by hypoxemia; may be acute or chronic </w:t>
      </w:r>
      <w:r>
        <w:rPr>
          <w:b w:val="0"/>
          <w:i w:val="0"/>
        </w:rPr>
        <w:t>Slide 21</w:t>
      </w:r>
      <w:r>
        <w:rPr>
          <w:b w:val="0"/>
          <w:i w:val="0"/>
        </w:rPr>
        <w:t>Etiology (cause)</w:t>
      </w:r>
      <w:r>
        <w:rPr>
          <w:b w:val="0"/>
          <w:i w:val="0"/>
        </w:rPr>
        <w:t>Acute: airway obstruction; pulmonary disease (pneumonia, asthma, pulmonary edema, aspiration pneumonitis); central nervous system depression (recreational drugs, intracranial catastrophe, intravenous sedation); neuromuscular disorders (myasthenia gravis, Guillain-Barré syndrome); thoracic trauma (pneumothorax, flail chest). Chronic: lung disease (</w:t>
      </w:r>
      <w:r>
        <w:rPr>
          <w:b w:val="0"/>
          <w:i w:val="0"/>
          <w:highlight w:val="yellow"/>
        </w:rPr>
        <w:t>★ chronic obstructive pulmonary disease</w:t>
      </w:r>
      <w:r>
        <w:rPr>
          <w:b w:val="0"/>
          <w:i w:val="0"/>
        </w:rPr>
        <w:t xml:space="preserve">, interstitial lung disease, idiopathic pulmonary fibrosis); neuromuscular disorders (muscular dystrophy, amyotrophic lateral sclerosis); obesity hypoventilation syndrome </w:t>
      </w:r>
      <w:r>
        <w:rPr>
          <w:b w:val="0"/>
          <w:i w:val="0"/>
        </w:rPr>
        <w:t>Slides 26–27</w:t>
      </w:r>
      <w:r>
        <w:rPr>
          <w:b w:val="0"/>
          <w:i w:val="0"/>
        </w:rPr>
        <w:t>Epidemiology (who)</w:t>
      </w:r>
      <w:r>
        <w:rPr>
          <w:b w:val="0"/>
          <w:i w:val="0"/>
        </w:rPr>
        <w:t>Not covered in the lecture</w:t>
      </w:r>
      <w:r>
        <w:rPr>
          <w:b w:val="0"/>
          <w:i w:val="0"/>
        </w:rPr>
        <w:t>Risk Factors</w:t>
      </w:r>
      <w:r>
        <w:rPr>
          <w:b w:val="0"/>
          <w:i w:val="0"/>
          <w:highlight w:val="yellow"/>
        </w:rPr>
        <w:t>★ Obesity hypoventilation syndrome (Pickwickian syndrome): the triad of obesity, sleep disordered breathing and chronic hypercapnia</w:t>
      </w:r>
      <w:r>
        <w:rPr>
          <w:b w:val="0"/>
          <w:i w:val="0"/>
        </w:rPr>
        <w:t xml:space="preserve"> </w:t>
      </w:r>
      <w:r>
        <w:rPr>
          <w:b w:val="0"/>
          <w:i w:val="0"/>
        </w:rPr>
        <w:t>Slide 27</w:t>
      </w:r>
      <w:r>
        <w:rPr>
          <w:b w:val="0"/>
          <w:i w:val="0"/>
        </w:rPr>
        <w:t>Pathology</w:t>
      </w:r>
      <w:r>
        <w:rPr>
          <w:b w:val="0"/>
          <w:i w:val="0"/>
        </w:rPr>
        <w:t xml:space="preserve">Hypercapnia is usually from under-excretion (hypoventilation), not excess production. Compensation is renal: the kidneys excrete acid as ammonium chloride and retain bicarbonate, beginning 6 to 12 hours after onset; complete compensation may take days. Bicarbonate rises about 1 mEq/L per 10 mm Hg rise in carbon dioxide acutely and about 3.5 chronically </w:t>
      </w:r>
      <w:r>
        <w:rPr>
          <w:b w:val="0"/>
          <w:i w:val="0"/>
        </w:rPr>
        <w:t>Slides 14, 22, 59</w:t>
      </w:r>
      <w:r>
        <w:rPr>
          <w:b w:val="0"/>
          <w:i w:val="0"/>
        </w:rPr>
        <w:t>Clinical Manifestation</w:t>
      </w:r>
      <w:r>
        <w:rPr>
          <w:b w:val="0"/>
          <w:i w:val="0"/>
        </w:rPr>
        <w:t xml:space="preserve">Somnolence, confusion, altered mental status, asterixis, myoclonus. Severe hypercapnia: increased cerebral blood flow, intracranial pressure and cerebrospinal fluid pressure; papilledema may be seen </w:t>
      </w:r>
      <w:r>
        <w:rPr>
          <w:b w:val="0"/>
          <w:i w:val="0"/>
        </w:rPr>
        <w:t>Slides 23–24</w:t>
      </w:r>
      <w:r>
        <w:rPr>
          <w:b w:val="0"/>
          <w:i w:val="0"/>
        </w:rPr>
        <w:t>Diagnosis</w:t>
      </w:r>
      <w:r>
        <w:rPr>
          <w:b w:val="0"/>
          <w:i w:val="0"/>
        </w:rPr>
        <w:t xml:space="preserve">Low arterial pH, increased carbon dioxide, elevated serum bicarbonate; hypochloremia with chronic acidosis (renal excretion of acid as ammonium chloride). Respiratory disorder: compare the bicarbonate with its expected level to judge acute versus chronic </w:t>
      </w:r>
      <w:r>
        <w:rPr>
          <w:b w:val="0"/>
          <w:i w:val="0"/>
        </w:rPr>
        <w:t>Slides 25, 61</w:t>
      </w:r>
      <w:r>
        <w:rPr>
          <w:b w:val="0"/>
          <w:i w:val="0"/>
        </w:rPr>
        <w:t>Treatment/Therapy</w:t>
      </w:r>
      <w:r>
        <w:rPr>
          <w:b w:val="0"/>
          <w:i w:val="0"/>
        </w:rPr>
        <w:t xml:space="preserve">Treat the underlying cause. Acute: restore ventilation. Chronic: careful oxygen titration; avoid rapid or aggressive carbon dioxide reduction, which causes posthypercapnic metabolic alkalosis </w:t>
      </w:r>
      <w:r>
        <w:rPr>
          <w:b w:val="0"/>
          <w:i w:val="0"/>
        </w:rPr>
        <w:t>Slide 28</w:t>
      </w:r>
      <w:r>
        <w:rPr>
          <w:b w:val="0"/>
          <w:i w:val="0"/>
        </w:rPr>
        <w:t>Mortality ★</w:t>
      </w:r>
      <w:r>
        <w:rPr>
          <w:b w:val="0"/>
          <w:i w:val="0"/>
        </w:rPr>
        <w:t>Not covered in the lecture</w:t>
      </w:r>
    </w:p>
    <w:p>
      <w:pPr>
        <w:spacing w:after="120"/>
      </w:pPr>
      <w:r>
        <w:rPr>
          <w:b w:val="0"/>
          <w:i w:val="0"/>
        </w:rPr>
        <w:t>Respiratory alkalosis</w:t>
      </w:r>
      <w:r>
        <w:rPr>
          <w:b w:val="0"/>
          <w:i w:val="0"/>
        </w:rPr>
        <w:t>★ Professor emphasized</w:t>
      </w:r>
      <w:r>
        <w:rPr>
          <w:b w:val="0"/>
          <w:i w:val="0"/>
        </w:rPr>
        <w:t>3 not covered</w:t>
      </w:r>
    </w:p>
    <w:p>
      <w:pPr>
        <w:spacing w:after="120"/>
      </w:pPr>
      <w:r>
        <w:rPr>
          <w:b w:val="0"/>
          <w:i w:val="0"/>
        </w:rPr>
        <w:t>★ The paper bag "doesn't actually do anything": it is not necessary, does not correct carbon dioxide, may lower oxygen and works as a placebo.</w:t>
      </w:r>
    </w:p>
    <w:p>
      <w:pPr>
        <w:spacing w:after="120"/>
      </w:pPr>
      <w:r>
        <w:rPr>
          <w:b w:val="0"/>
          <w:i w:val="0"/>
        </w:rPr>
        <w:t>Name of Condition</w:t>
      </w:r>
      <w:r>
        <w:rPr>
          <w:b w:val="0"/>
          <w:i w:val="0"/>
        </w:rPr>
        <w:t xml:space="preserve">Respiratory alkalosis (acute or chronic) </w:t>
      </w:r>
      <w:r>
        <w:rPr>
          <w:b w:val="0"/>
          <w:i w:val="0"/>
        </w:rPr>
        <w:t>Slide 29</w:t>
      </w:r>
      <w:r>
        <w:rPr>
          <w:b w:val="0"/>
          <w:i w:val="0"/>
        </w:rPr>
        <w:t>Definition</w:t>
      </w:r>
      <w:r>
        <w:rPr>
          <w:b w:val="0"/>
          <w:i w:val="0"/>
        </w:rPr>
        <w:t xml:space="preserve">Hyperventilation lowering the partial pressure of carbon dioxide and causing alkalemia (pH above 7.45) </w:t>
      </w:r>
      <w:r>
        <w:rPr>
          <w:b w:val="0"/>
          <w:i w:val="0"/>
        </w:rPr>
        <w:t>Slide 29</w:t>
      </w:r>
      <w:r>
        <w:rPr>
          <w:b w:val="0"/>
          <w:i w:val="0"/>
        </w:rPr>
        <w:t>Etiology (cause)</w:t>
      </w:r>
      <w:r>
        <w:rPr>
          <w:b w:val="0"/>
          <w:i w:val="0"/>
        </w:rPr>
        <w:t xml:space="preserve">Central hyperventilation (voluntary or psychogenic, cerebrovascular accident, increased intracranial pressure); hyperventilation from hypoxia (high altitude, severe anemia, ventilation-perfusion mismatch, hypotension); toxic or pharmacologic (salicylates, caffeine, nicotine, catecholamines, thyroxine); pulmonary (pulmonary embolism, pneumonia, pulmonary edema, mechanical hyperventilation, interstitial lung disease); endocrine (pregnancy, hyperthyroidism); septicemia; heat exposure; hepatic failure </w:t>
      </w:r>
      <w:r>
        <w:rPr>
          <w:b w:val="0"/>
          <w:i w:val="0"/>
        </w:rPr>
        <w:t>Slides 33–34</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Hypocapnia is usually from excess excretion (hyperventilation). Initial compensation: cells secrete hydrogen ions in exchange for potassium. Then the kidneys excrete bicarbonate and retain chloride, giving a reduced bicarbonate, hypokalemia and hyperchloremia. Bicarbonate falls about 2 mEq/L per 10 mm Hg fall in carbon dioxide acutely and about 5 chronically </w:t>
      </w:r>
      <w:r>
        <w:rPr>
          <w:b w:val="0"/>
          <w:i w:val="0"/>
        </w:rPr>
        <w:t>Slides 14, 30, 59</w:t>
      </w:r>
      <w:r>
        <w:rPr>
          <w:b w:val="0"/>
          <w:i w:val="0"/>
        </w:rPr>
        <w:t>Clinical Manifestation</w:t>
      </w:r>
      <w:r>
        <w:rPr>
          <w:b w:val="0"/>
          <w:i w:val="0"/>
        </w:rPr>
        <w:t xml:space="preserve">Light-headedness, anxiety, perioral numbness, paresthesias; in severe cases tetany from low calcium, because a high pH increases calcium binding with albumin </w:t>
      </w:r>
      <w:r>
        <w:rPr>
          <w:b w:val="0"/>
          <w:i w:val="0"/>
        </w:rPr>
        <w:t>Slide 31</w:t>
      </w:r>
      <w:r>
        <w:rPr>
          <w:b w:val="0"/>
          <w:i w:val="0"/>
        </w:rPr>
        <w:t>Diagnosis</w:t>
      </w:r>
      <w:r>
        <w:rPr>
          <w:b w:val="0"/>
          <w:i w:val="0"/>
        </w:rPr>
        <w:t xml:space="preserve">Elevated arterial pH, low carbon dioxide; decreased bicarbonate in chronic respiratory alkalosis </w:t>
      </w:r>
      <w:r>
        <w:rPr>
          <w:b w:val="0"/>
          <w:i w:val="0"/>
        </w:rPr>
        <w:t>Slide 32</w:t>
      </w:r>
      <w:r>
        <w:rPr>
          <w:b w:val="0"/>
          <w:i w:val="0"/>
        </w:rPr>
        <w:t>Treatment/Therapy</w:t>
      </w:r>
      <w:r>
        <w:rPr>
          <w:b w:val="0"/>
          <w:i w:val="0"/>
        </w:rPr>
        <w:t xml:space="preserve">Treat the underlying cause; hyperventilation is usually self-limited. </w:t>
      </w:r>
      <w:r>
        <w:rPr>
          <w:b w:val="0"/>
          <w:i w:val="0"/>
          <w:highlight w:val="yellow"/>
        </w:rPr>
        <w:t>★ Breathing into a paper bag is not necessary: it does not correct carbon dioxide, may decrease oxygen, and works as a placebo</w:t>
      </w:r>
      <w:r>
        <w:rPr>
          <w:b w:val="0"/>
          <w:i w:val="0"/>
        </w:rPr>
        <w:t xml:space="preserve">. Rapid correction of chronic respiratory alkalosis may cause posthypocapnia metabolic acidosis </w:t>
      </w:r>
      <w:r>
        <w:rPr>
          <w:b w:val="0"/>
          <w:i w:val="0"/>
        </w:rPr>
        <w:t>Slide 35</w:t>
      </w:r>
      <w:r>
        <w:rPr>
          <w:b w:val="0"/>
          <w:i w:val="0"/>
        </w:rPr>
        <w:t>Mortality ★</w:t>
      </w:r>
      <w:r>
        <w:rPr>
          <w:b w:val="0"/>
          <w:i w:val="0"/>
        </w:rPr>
        <w:t>Not covered in the lecture</w:t>
      </w:r>
    </w:p>
    <w:p>
      <w:pPr>
        <w:spacing w:after="120"/>
      </w:pPr>
      <w:r>
        <w:rPr>
          <w:b w:val="0"/>
          <w:i w:val="0"/>
        </w:rPr>
        <w:t>Metabolic alkalosis</w:t>
      </w:r>
      <w:r>
        <w:rPr>
          <w:b w:val="0"/>
          <w:i w:val="0"/>
        </w:rPr>
        <w:t>★ Professor emphasized</w:t>
      </w:r>
      <w:r>
        <w:rPr>
          <w:b w:val="0"/>
          <w:i w:val="0"/>
        </w:rPr>
        <w:t>2 not covered</w:t>
      </w:r>
    </w:p>
    <w:p>
      <w:pPr>
        <w:spacing w:after="120"/>
      </w:pPr>
      <w:r>
        <w:rPr>
          <w:b w:val="0"/>
          <w:i w:val="0"/>
        </w:rPr>
        <w:t>★ Saline responsive is the common type; compensation rarely takes carbon dioxide above 55 mm Hg; urine chloride splits the two types and blood pressure then sorts the saline-unresponsive causes; licorice is "a unicorn".</w:t>
      </w:r>
    </w:p>
    <w:p>
      <w:pPr>
        <w:spacing w:after="120"/>
      </w:pPr>
      <w:r>
        <w:rPr>
          <w:b w:val="0"/>
          <w:i w:val="0"/>
        </w:rPr>
        <w:t>Name of Condition</w:t>
      </w:r>
      <w:r>
        <w:rPr>
          <w:b w:val="0"/>
          <w:i w:val="0"/>
        </w:rPr>
        <w:t xml:space="preserve">Metabolic alkalosis (saline responsive or saline unresponsive) </w:t>
      </w:r>
      <w:r>
        <w:rPr>
          <w:b w:val="0"/>
          <w:i w:val="0"/>
        </w:rPr>
        <w:t>Slide 36</w:t>
      </w:r>
      <w:r>
        <w:rPr>
          <w:b w:val="0"/>
          <w:i w:val="0"/>
        </w:rPr>
        <w:t>Definition</w:t>
      </w:r>
      <w:r>
        <w:rPr>
          <w:b w:val="0"/>
          <w:i w:val="0"/>
        </w:rPr>
        <w:t xml:space="preserve">Elevated serum bicarbonate causing alkalemia. Two types: saline responsive (a sign of extracellular volume contraction) and saline unresponsive (elevated bicarbonate with euvolemia or hypervolemia) </w:t>
      </w:r>
      <w:r>
        <w:rPr>
          <w:b w:val="0"/>
          <w:i w:val="0"/>
        </w:rPr>
        <w:t>Slides 36–37</w:t>
      </w:r>
      <w:r>
        <w:rPr>
          <w:b w:val="0"/>
          <w:i w:val="0"/>
        </w:rPr>
        <w:t>Etiology (cause)</w:t>
      </w:r>
      <w:r>
        <w:rPr>
          <w:b w:val="0"/>
          <w:i w:val="0"/>
        </w:rPr>
        <w:t xml:space="preserve">Saline responsive: diuretic therapy, posthypercapnia, loss of hydrochloric acid (vomiting, nasogastric suction), antacids, volume contraction. Saline unresponsive, normotensive: severe potassium depletion, hypoparathyroidism and hypercalcemia. Saline unresponsive, hypertensive: primary aldosteronism, exogenous alkali, mineralocorticoids, licorice </w:t>
      </w:r>
      <w:r>
        <w:rPr>
          <w:b w:val="0"/>
          <w:i w:val="0"/>
        </w:rPr>
        <w:t>Slides 42–43</w:t>
      </w:r>
      <w:r>
        <w:rPr>
          <w:b w:val="0"/>
          <w:i w:val="0"/>
        </w:rPr>
        <w:t>Epidemiology (who)</w:t>
      </w:r>
      <w:r>
        <w:rPr>
          <w:b w:val="0"/>
          <w:i w:val="0"/>
          <w:highlight w:val="yellow"/>
        </w:rPr>
        <w:t>★ Saline responsive is the more common type</w:t>
      </w:r>
      <w:r>
        <w:rPr>
          <w:b w:val="0"/>
          <w:i w:val="0"/>
        </w:rPr>
        <w:t xml:space="preserve"> </w:t>
      </w:r>
      <w:r>
        <w:rPr>
          <w:b w:val="0"/>
          <w:i w:val="0"/>
        </w:rPr>
        <w:t>Slide 36</w:t>
      </w:r>
      <w:r>
        <w:rPr>
          <w:b w:val="0"/>
          <w:i w:val="0"/>
        </w:rPr>
        <w:t>Risk Factors</w:t>
      </w:r>
      <w:r>
        <w:rPr>
          <w:b w:val="0"/>
          <w:i w:val="0"/>
        </w:rPr>
        <w:t>Not covered in the lecture</w:t>
      </w:r>
      <w:r>
        <w:rPr>
          <w:b w:val="0"/>
          <w:i w:val="0"/>
        </w:rPr>
        <w:t>Pathology</w:t>
      </w:r>
      <w:r>
        <w:rPr>
          <w:b w:val="0"/>
          <w:i w:val="0"/>
        </w:rPr>
        <w:t xml:space="preserve">Compensation is decreased ventilation to retain carbon dioxide, about 0.75 mm Hg per 1 mEq/L rise in bicarbonate; </w:t>
      </w:r>
      <w:r>
        <w:rPr>
          <w:b w:val="0"/>
          <w:i w:val="0"/>
          <w:highlight w:val="yellow"/>
        </w:rPr>
        <w:t>★ carbon dioxide is rarely above 55 mm Hg from compensation, so a higher value suggests a concurrent primary respiratory acidosis</w:t>
      </w:r>
      <w:r>
        <w:rPr>
          <w:b w:val="0"/>
          <w:i w:val="0"/>
        </w:rPr>
        <w:t xml:space="preserve"> </w:t>
      </w:r>
      <w:r>
        <w:rPr>
          <w:b w:val="0"/>
          <w:i w:val="0"/>
        </w:rPr>
        <w:t>Slides 38, 59</w:t>
      </w:r>
      <w:r>
        <w:rPr>
          <w:b w:val="0"/>
          <w:i w:val="0"/>
        </w:rPr>
        <w:t>Clinical Manifestation</w:t>
      </w:r>
      <w:r>
        <w:rPr>
          <w:b w:val="0"/>
          <w:i w:val="0"/>
        </w:rPr>
        <w:t xml:space="preserve">No characteristic findings; may have orthostatic hypotension; associated hypokalemia causes weakness and hyporeflexia </w:t>
      </w:r>
      <w:r>
        <w:rPr>
          <w:b w:val="0"/>
          <w:i w:val="0"/>
        </w:rPr>
        <w:t>Slide 39</w:t>
      </w:r>
      <w:r>
        <w:rPr>
          <w:b w:val="0"/>
          <w:i w:val="0"/>
        </w:rPr>
        <w:t>Diagnosis</w:t>
      </w:r>
      <w:r>
        <w:rPr>
          <w:b w:val="0"/>
          <w:i w:val="0"/>
        </w:rPr>
        <w:t xml:space="preserve">Elevated arterial pH and serum bicarbonate; increased carbon dioxide with respiratory compensation; decreased potassium and chloride. </w:t>
      </w:r>
      <w:r>
        <w:rPr>
          <w:b w:val="0"/>
          <w:i w:val="0"/>
          <w:highlight w:val="yellow"/>
        </w:rPr>
        <w:t>★ Urine chloride differentiates the types: lower in saline responsive (below 25 mEq/L), higher in saline unresponsive (above 40 mEq/L)</w:t>
      </w:r>
      <w:r>
        <w:rPr>
          <w:b w:val="0"/>
          <w:i w:val="0"/>
        </w:rPr>
        <w:t xml:space="preserve"> </w:t>
      </w:r>
      <w:r>
        <w:rPr>
          <w:b w:val="0"/>
          <w:i w:val="0"/>
        </w:rPr>
        <w:t>Slides 40–41</w:t>
      </w:r>
      <w:r>
        <w:rPr>
          <w:b w:val="0"/>
          <w:i w:val="0"/>
        </w:rPr>
        <w:t>Treatment/Therapy</w:t>
      </w:r>
      <w:r>
        <w:rPr>
          <w:b w:val="0"/>
          <w:i w:val="0"/>
        </w:rPr>
        <w:t xml:space="preserve">Treat the underlying cause. If saline responsive: isotonic saline to correct the extracellular volume deficit, and discontinue diuretics if present </w:t>
      </w:r>
      <w:r>
        <w:rPr>
          <w:b w:val="0"/>
          <w:i w:val="0"/>
        </w:rPr>
        <w:t>Slide 44</w:t>
      </w:r>
      <w:r>
        <w:rPr>
          <w:b w:val="0"/>
          <w:i w:val="0"/>
        </w:rPr>
        <w:t>Mortality ★</w:t>
      </w:r>
      <w:r>
        <w:rPr>
          <w:b w:val="0"/>
          <w:i w:val="0"/>
        </w:rPr>
        <w:t>Not covered in the lecture</w:t>
      </w:r>
    </w:p>
    <w:p>
      <w:pPr>
        <w:spacing w:after="120"/>
      </w:pPr>
      <w:r>
        <w:rPr>
          <w:b w:val="0"/>
          <w:i w:val="0"/>
        </w:rPr>
        <w:t>Metabolic acidosis</w:t>
      </w:r>
      <w:r>
        <w:rPr>
          <w:b w:val="0"/>
          <w:i w:val="0"/>
        </w:rPr>
        <w:t>★ Professor emphasized</w:t>
      </w:r>
      <w:r>
        <w:rPr>
          <w:b w:val="0"/>
          <w:i w:val="0"/>
        </w:rPr>
        <w:t>2 not covered</w:t>
      </w:r>
    </w:p>
    <w:p>
      <w:pPr>
        <w:spacing w:after="120"/>
      </w:pPr>
      <w:r>
        <w:rPr>
          <w:b w:val="0"/>
          <w:i w:val="0"/>
        </w:rPr>
        <w:t>★ "By far the most complex": know the two mnemonics, and commit the Winter formula and the anion gap calculation to memory.</w:t>
      </w:r>
    </w:p>
    <w:p>
      <w:pPr>
        <w:spacing w:after="120"/>
      </w:pPr>
      <w:r>
        <w:rPr>
          <w:b w:val="0"/>
          <w:i w:val="0"/>
        </w:rPr>
        <w:t>Name of Condition</w:t>
      </w:r>
      <w:r>
        <w:rPr>
          <w:b w:val="0"/>
          <w:i w:val="0"/>
        </w:rPr>
        <w:t xml:space="preserve">Metabolic acidosis (normal anion gap or elevated anion gap) </w:t>
      </w:r>
      <w:r>
        <w:rPr>
          <w:b w:val="0"/>
          <w:i w:val="0"/>
        </w:rPr>
        <w:t>Slide 45</w:t>
      </w:r>
      <w:r>
        <w:rPr>
          <w:b w:val="0"/>
          <w:i w:val="0"/>
        </w:rPr>
        <w:t>Definition</w:t>
      </w:r>
      <w:r>
        <w:rPr>
          <w:b w:val="0"/>
          <w:i w:val="0"/>
        </w:rPr>
        <w:t xml:space="preserve">Reduced serum bicarbonate causing acidemia: acids added (intrinsic or exogenous), acid excretion impaired, or bicarbonate lost. Two types: normal anion gap and elevated anion gap </w:t>
      </w:r>
      <w:r>
        <w:rPr>
          <w:b w:val="0"/>
          <w:i w:val="0"/>
        </w:rPr>
        <w:t>Slides 45, 53</w:t>
      </w:r>
      <w:r>
        <w:rPr>
          <w:b w:val="0"/>
          <w:i w:val="0"/>
        </w:rPr>
        <w:t>Etiology (cause)</w:t>
      </w:r>
      <w:r>
        <w:rPr>
          <w:b w:val="0"/>
          <w:i w:val="0"/>
        </w:rPr>
        <w:t xml:space="preserve">Elevated anion gap (MUDPILES): methanol, metformin, uremia, diabetic ketoacidosis, paraldehyde, isoniazid, iron, lactic acidosis, ethylene glycol, salicylates, starvation (metabolic and drug or chemical anions). Normal anion gap (USEDCAR): ureteral diversion, saline infusion, exogenous acid, diarrhea, carbonic anhydrase inhibitors, adrenal insufficiency, renal tubular acidosis (loss of bicarbonate, chloride retention, acids) </w:t>
      </w:r>
      <w:r>
        <w:rPr>
          <w:b w:val="0"/>
          <w:i w:val="0"/>
        </w:rPr>
        <w:t>Slides 54–56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Increased acid production or ingestion, loss of bicarbonate, or decreased renal acid excretion. Compensation is increased ventilation to lower carbon dioxide; in severe cases hyperventilation is profound, as Kussmaul respirations (increased tidal volume and tachypnea) in diabetic ketoacidosis. The anion gap is the anions other than chloride and bicarbonate; albumin makes up most of the normal gap </w:t>
      </w:r>
      <w:r>
        <w:rPr>
          <w:b w:val="0"/>
          <w:i w:val="0"/>
        </w:rPr>
        <w:t>Slides 46, 50, 53</w:t>
      </w:r>
      <w:r>
        <w:rPr>
          <w:b w:val="0"/>
          <w:i w:val="0"/>
        </w:rPr>
        <w:t>Clinical Manifestation</w:t>
      </w:r>
      <w:r>
        <w:rPr>
          <w:b w:val="0"/>
          <w:i w:val="0"/>
        </w:rPr>
        <w:t xml:space="preserve">Mainly the signs and symptoms of the underlying disorder, plus compensatory hyperventilation </w:t>
      </w:r>
      <w:r>
        <w:rPr>
          <w:b w:val="0"/>
          <w:i w:val="0"/>
        </w:rPr>
        <w:t>Slide 51</w:t>
      </w:r>
      <w:r>
        <w:rPr>
          <w:b w:val="0"/>
          <w:i w:val="0"/>
        </w:rPr>
        <w:t>Diagnosis</w:t>
      </w:r>
      <w:r>
        <w:rPr>
          <w:b w:val="0"/>
          <w:i w:val="0"/>
        </w:rPr>
        <w:t xml:space="preserve">Decreased pH, bicarbonate and carbon dioxide; hyperkalemia may be present. </w:t>
      </w:r>
      <w:r>
        <w:rPr>
          <w:b w:val="0"/>
          <w:i w:val="0"/>
          <w:highlight w:val="yellow"/>
        </w:rPr>
        <w:t>★ Anion gap = sodium - (chloride + bicarbonate), normal 9 to 15</w:t>
      </w:r>
      <w:r>
        <w:rPr>
          <w:b w:val="0"/>
          <w:i w:val="0"/>
        </w:rPr>
        <w:t xml:space="preserve">: normal gap is hyperchloremic, elevated gap is normochloremic. A normal gap does not exclude acidosis and should not override clinical concern (errors: hypoalbuminemia, hypernatremia or hyponatremia, antibiotics). </w:t>
      </w:r>
      <w:r>
        <w:rPr>
          <w:b w:val="0"/>
          <w:i w:val="0"/>
          <w:highlight w:val="yellow"/>
        </w:rPr>
        <w:t>★ Winter formula: expected carbon dioxide = 1.5 x measured bicarbonate + 8, plus or minus 2</w:t>
      </w:r>
      <w:r>
        <w:rPr>
          <w:b w:val="0"/>
          <w:i w:val="0"/>
        </w:rPr>
        <w:t xml:space="preserve">; a higher measured value means an added respiratory acidosis, a possible sign of impending respiratory failure </w:t>
      </w:r>
      <w:r>
        <w:rPr>
          <w:b w:val="0"/>
          <w:i w:val="0"/>
        </w:rPr>
        <w:t>Slides 47–49, 52, 58</w:t>
      </w:r>
      <w:r>
        <w:rPr>
          <w:b w:val="0"/>
          <w:i w:val="0"/>
        </w:rPr>
        <w:t>Treatment/Therapy</w:t>
      </w:r>
      <w:r>
        <w:rPr>
          <w:b w:val="0"/>
          <w:i w:val="0"/>
        </w:rPr>
        <w:t xml:space="preserve">Treat the underlying disorder, for both gap types; assess the compensatory response with the Winter formula. A pH below 6.7 may warrant therapy to normalize the pH along with treatment of the cause </w:t>
      </w:r>
      <w:r>
        <w:rPr>
          <w:b w:val="0"/>
          <w:i w:val="0"/>
        </w:rPr>
        <w:t>Slides 8, 57–58</w:t>
      </w:r>
      <w:r>
        <w:rPr>
          <w:b w:val="0"/>
          <w:i w:val="0"/>
        </w:rPr>
        <w:t>Mortality ★</w:t>
      </w:r>
      <w:r>
        <w:rPr>
          <w:b w:val="0"/>
          <w:i w:val="0"/>
        </w:rPr>
        <w:t xml:space="preserve">A pH below 6.7 (or above 7.6) is unsustainable: it may cause cardiac hypocontractility or irritability, seizures, cerebral edema and metabolic disturbances </w:t>
      </w:r>
      <w:r>
        <w:rPr>
          <w:b w:val="0"/>
          <w:i w:val="0"/>
        </w:rPr>
        <w:t>Slide 8</w:t>
      </w:r>
    </w:p>
    <w:p>
      <w:pPr>
        <w:pStyle w:val="Heading1"/>
        <w:spacing w:before="280" w:after="100"/>
      </w:pPr>
      <w:r>
        <w:rPr>
          <w:rFonts w:ascii="Georgia" w:hAnsi="Georgia"/>
          <w:color w:val="7A2D30"/>
        </w:rPr>
        <w:t>Lecture 35 · Asthma</w:t>
      </w:r>
    </w:p>
    <w:p>
      <w:pPr>
        <w:spacing w:after="120"/>
      </w:pPr>
      <w:r>
        <w:rPr>
          <w:b w:val="0"/>
          <w:i w:val="0"/>
        </w:rPr>
        <w:t>Megan B. Finck, MMS, PA-C · 2 conditions · source: PAJ5500 CMSI Asthma MBF 2026sc.pptx</w:t>
      </w:r>
    </w:p>
    <w:p>
      <w:pPr>
        <w:spacing w:after="120"/>
      </w:pPr>
      <w:r>
        <w:rPr>
          <w:b/>
          <w:i w:val="0"/>
        </w:rPr>
        <w:t>Note:</w:t>
      </w:r>
      <w:r>
        <w:rPr>
          <w:b w:val="0"/>
          <w:i w:val="0"/>
        </w:rPr>
        <w:t xml:space="preserve"> Built from the slides plus the lecture recording: the recording only chooses which facts to star, it adds no content. Adult content (12 and older) only; epidemiology numbers and emergency management are context, not tested. Brand names and dosing are left out. Where a slide is loose (high-dose inhaled steroid systemic effects, cromolyn filed under bronchodilators, the pneumococcal age band), the field says so or leaves it out.</w:t>
      </w:r>
    </w:p>
    <w:p>
      <w:pPr>
        <w:spacing w:after="120"/>
      </w:pPr>
      <w:r>
        <w:rPr>
          <w:b w:val="0"/>
          <w:i w:val="0"/>
        </w:rPr>
        <w:t>Asthma</w:t>
      </w:r>
      <w:r>
        <w:rPr>
          <w:b w:val="0"/>
          <w:i w:val="0"/>
        </w:rPr>
        <w:t>★ Professor emphasized</w:t>
      </w:r>
    </w:p>
    <w:p>
      <w:pPr>
        <w:spacing w:after="120"/>
      </w:pPr>
      <w:r>
        <w:rPr>
          <w:b w:val="0"/>
          <w:i w:val="0"/>
        </w:rPr>
        <w:t>★ Classifying severity from a patient description (most severe feature wins), the written action plan and zones, inhaler and spacer technique, and drug classes rather than brands were stressed; epidemiology and emergency care are not tested.</w:t>
      </w:r>
    </w:p>
    <w:p>
      <w:pPr>
        <w:spacing w:after="120"/>
      </w:pPr>
      <w:r>
        <w:rPr>
          <w:b w:val="0"/>
          <w:i w:val="0"/>
        </w:rPr>
        <w:t>Name of Condition</w:t>
      </w:r>
      <w:r>
        <w:rPr>
          <w:b w:val="0"/>
          <w:i w:val="0"/>
        </w:rPr>
        <w:t xml:space="preserve">Asthma (extrinsic and intrinsic types) </w:t>
      </w:r>
      <w:r>
        <w:rPr>
          <w:b w:val="0"/>
          <w:i w:val="0"/>
        </w:rPr>
        <w:t>Slides 5, 34–36</w:t>
      </w:r>
      <w:r>
        <w:rPr>
          <w:b w:val="0"/>
          <w:i w:val="0"/>
        </w:rPr>
        <w:t>Definition</w:t>
      </w:r>
      <w:r>
        <w:rPr>
          <w:b w:val="0"/>
          <w:i w:val="0"/>
          <w:highlight w:val="yellow"/>
        </w:rPr>
        <w:t>★ Chronic inflammatory airway disorder with reversible airflow obstruction</w:t>
      </w:r>
      <w:r>
        <w:rPr>
          <w:b w:val="0"/>
          <w:i w:val="0"/>
        </w:rPr>
        <w:t xml:space="preserve"> (some long-standing cases irreversible): recurrent breathlessness and wheezing and difficulty getting air out. Airway hyper-responsiveness is excessive bronchoconstriction to a trigger a normal airway ignores </w:t>
      </w:r>
      <w:r>
        <w:rPr>
          <w:b w:val="0"/>
          <w:i w:val="0"/>
        </w:rPr>
        <w:t>Slides 5, 7–11</w:t>
      </w:r>
      <w:r>
        <w:rPr>
          <w:b w:val="0"/>
          <w:i w:val="0"/>
        </w:rPr>
        <w:t>Etiology (cause)</w:t>
      </w:r>
      <w:r>
        <w:rPr>
          <w:b w:val="0"/>
          <w:i w:val="0"/>
        </w:rPr>
        <w:t xml:space="preserve">Not fully understood: genetic predisposition (polygenic) plus environment. </w:t>
      </w:r>
      <w:r>
        <w:rPr>
          <w:b w:val="0"/>
          <w:i w:val="0"/>
          <w:highlight w:val="yellow"/>
        </w:rPr>
        <w:t>★ Atopy</w:t>
      </w:r>
      <w:r>
        <w:rPr>
          <w:b w:val="0"/>
          <w:i w:val="0"/>
        </w:rPr>
        <w:t xml:space="preserve"> (raised immunoglobulin E; atopic triad of allergic rhinitis, asthma, atopic dermatitis); obesity (body mass index above 30); early viral infection. Inhaled allergens (dust mites most common), occupational sensitizers, air pollution and passive smoke (controversial) </w:t>
      </w:r>
      <w:r>
        <w:rPr>
          <w:b w:val="0"/>
          <w:i w:val="0"/>
        </w:rPr>
        <w:t>Slides 23–33</w:t>
      </w:r>
      <w:r>
        <w:rPr>
          <w:b w:val="0"/>
          <w:i w:val="0"/>
        </w:rPr>
        <w:t>Epidemiology (who)</w:t>
      </w:r>
      <w:r>
        <w:rPr>
          <w:b w:val="0"/>
          <w:i w:val="0"/>
        </w:rPr>
        <w:t xml:space="preserve">Any age, peak presentation at 3 years; may go quiet in adolescence and return in adulthood. Statistics were not tested. Severity rarely changes: mild rarely becomes severe, severe is usually severe at onset </w:t>
      </w:r>
      <w:r>
        <w:rPr>
          <w:b w:val="0"/>
          <w:i w:val="0"/>
        </w:rPr>
        <w:t>Slides 12–13</w:t>
      </w:r>
      <w:r>
        <w:rPr>
          <w:b w:val="0"/>
          <w:i w:val="0"/>
        </w:rPr>
        <w:t>Risk Factors</w:t>
      </w:r>
      <w:r>
        <w:rPr>
          <w:b w:val="0"/>
          <w:i w:val="0"/>
        </w:rPr>
        <w:t xml:space="preserve">Atopy, family history, obesity, occupational exposure. Triggers: allergens, viral infections, aspirin and beta blockers, exercise, cold air, pollution, smoke, stress. Allergen avoidance does not reduce the risk of developing asthma. Death risk: frequent bronchodilator use, no or poorly taken inhaled corticosteroid, previous near-fatal admission </w:t>
      </w:r>
      <w:r>
        <w:rPr>
          <w:b w:val="0"/>
          <w:i w:val="0"/>
        </w:rPr>
        <w:t>Slides 14, 24–32, 37–42</w:t>
      </w:r>
      <w:r>
        <w:rPr>
          <w:b w:val="0"/>
          <w:i w:val="0"/>
        </w:rPr>
        <w:t>Pathology</w:t>
      </w:r>
      <w:r>
        <w:rPr>
          <w:b w:val="0"/>
          <w:i w:val="0"/>
        </w:rPr>
        <w:t xml:space="preserve">Bronchoconstriction, airway edema, vascular congestion, mucus plugging; lowers the 1-second volume, its ratio to forced vital capacity, and peak flow. Extrinsic: allergen-triggered, most common. Intrinsic (about 10%): negative skin tests, normal immunoglobulin E, adult onset, usually more severe, nasal polyps, may be aspirin sensitive. Other types: occupational, catamenial, cardiac, exercise-induced, aspirin-sensitive </w:t>
      </w:r>
      <w:r>
        <w:rPr>
          <w:b w:val="0"/>
          <w:i w:val="0"/>
        </w:rPr>
        <w:t>Slides 7–10, 34–36</w:t>
      </w:r>
      <w:r>
        <w:rPr>
          <w:b w:val="0"/>
          <w:i w:val="0"/>
        </w:rPr>
        <w:t>Clinical Manifestation</w:t>
      </w:r>
      <w:r>
        <w:rPr>
          <w:b w:val="0"/>
          <w:i w:val="0"/>
        </w:rPr>
        <w:t xml:space="preserve">Episodic wheeze, dyspnea, chest tightness, cough, sputum; worse at night (peak 3 to 4 in the morning); exam may be normal between exacerbations; extrinsic: swollen nasal mucosa, eczema, nasal polyps. Exacerbation: accessory muscle use, leaning forward; wheeze may disappear in a severe exacerbation </w:t>
      </w:r>
      <w:r>
        <w:rPr>
          <w:b w:val="0"/>
          <w:i w:val="0"/>
        </w:rPr>
        <w:t>Slides 45–51</w:t>
      </w:r>
      <w:r>
        <w:rPr>
          <w:b w:val="0"/>
          <w:i w:val="0"/>
        </w:rPr>
        <w:t>Diagnosis</w:t>
      </w:r>
      <w:r>
        <w:rPr>
          <w:b w:val="0"/>
          <w:i w:val="0"/>
          <w:highlight w:val="yellow"/>
        </w:rPr>
        <w:t>★ Spirometry before and after a short-acting bronchodilator</w:t>
      </w:r>
      <w:r>
        <w:rPr>
          <w:b w:val="0"/>
          <w:i w:val="0"/>
        </w:rPr>
        <w:t xml:space="preserve">: reduced 1-second volume and ratio; improvement of 12% or more supports asthma; repeat yearly. Provocation testing if nondiagnostic (not below 65% predicted); exercise challenge; allergy testing; exhaled nitric oxide. Home peak flow: 20% change = poor control. </w:t>
      </w:r>
      <w:r>
        <w:rPr>
          <w:b w:val="0"/>
          <w:i w:val="0"/>
          <w:highlight w:val="yellow"/>
        </w:rPr>
        <w:t>★ Severity (12 and older): intermittent, mild, moderate, severe persistent by symptoms, nights, rescue use, activity limit and 1-second volume; most severe feature wins</w:t>
      </w:r>
      <w:r>
        <w:rPr>
          <w:b w:val="0"/>
          <w:i w:val="0"/>
        </w:rPr>
        <w:t xml:space="preserve"> </w:t>
      </w:r>
      <w:r>
        <w:rPr>
          <w:b w:val="0"/>
          <w:i w:val="0"/>
        </w:rPr>
        <w:t>Slides 52–61, 69</w:t>
      </w:r>
      <w:r>
        <w:rPr>
          <w:b w:val="0"/>
          <w:i w:val="0"/>
        </w:rPr>
        <w:t>Treatment/Therapy</w:t>
      </w:r>
      <w:r>
        <w:rPr>
          <w:b w:val="0"/>
          <w:i w:val="0"/>
        </w:rPr>
        <w:t xml:space="preserve">Trigger avoidance; every patient needs a short-acting beta-2 agonist; </w:t>
      </w:r>
      <w:r>
        <w:rPr>
          <w:b w:val="0"/>
          <w:i w:val="0"/>
          <w:highlight w:val="yellow"/>
        </w:rPr>
        <w:t>★ inhaled corticosteroid first-line for persistent asthma</w:t>
      </w:r>
      <w:r>
        <w:rPr>
          <w:b w:val="0"/>
          <w:i w:val="0"/>
        </w:rPr>
        <w:t xml:space="preserve"> (spacer, rinse); long-acting beta-2 agonist only with an inhaled steroid; add-ons: leukotriene modifier, cromolyn, tiotropium, theophylline (rarely); monoclonal antibodies by specialists; short systemic steroid course for exacerbations, none long-term unless refractory. Avoid aspirin, non-selective anti-inflammatory drugs and beta blockers. Written action plan with zones; vaccines (caution with intranasal influenza); check compliance and technique first when control is poor </w:t>
      </w:r>
      <w:r>
        <w:rPr>
          <w:b w:val="0"/>
          <w:i w:val="0"/>
        </w:rPr>
        <w:t>Slides 66–96</w:t>
      </w:r>
      <w:r>
        <w:rPr>
          <w:b w:val="0"/>
          <w:i w:val="0"/>
        </w:rPr>
        <w:t>Mortality ★</w:t>
      </w:r>
      <w:r>
        <w:rPr>
          <w:b w:val="0"/>
          <w:i w:val="0"/>
        </w:rPr>
        <w:t xml:space="preserve">Death uncommon; declining in affluent countries with widespread use of inhaled corticosteroids. Death risk: frequent bronchodilator use, no or poorly taken inhaled corticosteroid, previous near-fatal admission </w:t>
      </w:r>
      <w:r>
        <w:rPr>
          <w:b w:val="0"/>
          <w:i w:val="0"/>
        </w:rPr>
        <w:t>Slides 13–14</w:t>
      </w:r>
    </w:p>
    <w:p>
      <w:pPr>
        <w:spacing w:after="120"/>
      </w:pPr>
      <w:r>
        <w:rPr>
          <w:b w:val="0"/>
          <w:i w:val="0"/>
        </w:rPr>
        <w:t>Allergic bronchopulmonary aspergillosis</w:t>
      </w:r>
      <w:r>
        <w:rPr>
          <w:b w:val="0"/>
          <w:i w:val="0"/>
        </w:rPr>
        <w:t>2 not covered</w:t>
      </w:r>
      <w:r>
        <w:br/>
      </w:r>
      <w:r>
        <w:rPr>
          <w:b w:val="0"/>
          <w:i w:val="0"/>
        </w:rPr>
        <w:t>Name of Condition</w:t>
      </w:r>
      <w:r>
        <w:rPr>
          <w:b w:val="0"/>
          <w:i w:val="0"/>
        </w:rPr>
        <w:t xml:space="preserve">Allergic bronchopulmonary aspergillosis </w:t>
      </w:r>
      <w:r>
        <w:rPr>
          <w:b w:val="0"/>
          <w:i w:val="0"/>
        </w:rPr>
        <w:t>Slide 65</w:t>
      </w:r>
      <w:r>
        <w:rPr>
          <w:b w:val="0"/>
          <w:i w:val="0"/>
        </w:rPr>
        <w:t>Definition</w:t>
      </w:r>
      <w:r>
        <w:rPr>
          <w:b w:val="0"/>
          <w:i w:val="0"/>
        </w:rPr>
        <w:t xml:space="preserve">Hypersensitivity reaction to Aspergillus species (Aspergillus fumigatus) </w:t>
      </w:r>
      <w:r>
        <w:rPr>
          <w:b w:val="0"/>
          <w:i w:val="0"/>
        </w:rPr>
        <w:t>Slide 65</w:t>
      </w:r>
      <w:r>
        <w:rPr>
          <w:b w:val="0"/>
          <w:i w:val="0"/>
        </w:rPr>
        <w:t>Etiology (cause)</w:t>
      </w:r>
      <w:r>
        <w:rPr>
          <w:b w:val="0"/>
          <w:i w:val="0"/>
        </w:rPr>
        <w:t xml:space="preserve">Exposure to Aspergillus in a patient with asthma or cystic fibrosis </w:t>
      </w:r>
      <w:r>
        <w:rPr>
          <w:b w:val="0"/>
          <w:i w:val="0"/>
        </w:rPr>
        <w:t>Slide 65</w:t>
      </w:r>
      <w:r>
        <w:rPr>
          <w:b w:val="0"/>
          <w:i w:val="0"/>
        </w:rPr>
        <w:t>Epidemiology (who)</w:t>
      </w:r>
      <w:r>
        <w:rPr>
          <w:b w:val="0"/>
          <w:i w:val="0"/>
        </w:rPr>
        <w:t xml:space="preserve">Occurs almost exclusively with asthma or cystic fibrosis </w:t>
      </w:r>
      <w:r>
        <w:rPr>
          <w:b w:val="0"/>
          <w:i w:val="0"/>
        </w:rPr>
        <w:t>Slide 65</w:t>
      </w:r>
      <w:r>
        <w:rPr>
          <w:b w:val="0"/>
          <w:i w:val="0"/>
        </w:rPr>
        <w:t>Risk Factors</w:t>
      </w:r>
      <w:r>
        <w:rPr>
          <w:b w:val="0"/>
          <w:i w:val="0"/>
        </w:rPr>
        <w:t xml:space="preserve">Asthma; cystic fibrosis </w:t>
      </w:r>
      <w:r>
        <w:rPr>
          <w:b w:val="0"/>
          <w:i w:val="0"/>
        </w:rPr>
        <w:t>Slide 65</w:t>
      </w:r>
      <w:r>
        <w:rPr>
          <w:b w:val="0"/>
          <w:i w:val="0"/>
        </w:rPr>
        <w:t>Pathology</w:t>
      </w:r>
      <w:r>
        <w:rPr>
          <w:b w:val="0"/>
          <w:i w:val="0"/>
        </w:rPr>
        <w:t xml:space="preserve">Vigorous immunoglobulin E and G antibody response to Aspergillus fumigatus </w:t>
      </w:r>
      <w:r>
        <w:rPr>
          <w:b w:val="0"/>
          <w:i w:val="0"/>
        </w:rPr>
        <w:t>Slide 65</w:t>
      </w:r>
      <w:r>
        <w:rPr>
          <w:b w:val="0"/>
          <w:i w:val="0"/>
        </w:rPr>
        <w:t>Clinical Manifestation</w:t>
      </w:r>
      <w:r>
        <w:rPr>
          <w:b w:val="0"/>
          <w:i w:val="0"/>
        </w:rPr>
        <w:t xml:space="preserve">Acute asthma symptoms and exacerbations despite good control </w:t>
      </w:r>
      <w:r>
        <w:rPr>
          <w:b w:val="0"/>
          <w:i w:val="0"/>
        </w:rPr>
        <w:t>Slide 65</w:t>
      </w:r>
      <w:r>
        <w:rPr>
          <w:b w:val="0"/>
          <w:i w:val="0"/>
        </w:rPr>
        <w:t>Diagnosis</w:t>
      </w:r>
      <w:r>
        <w:rPr>
          <w:b w:val="0"/>
          <w:i w:val="0"/>
        </w:rPr>
        <w:t xml:space="preserve">Raised immunoglobulin E and G antibodies to Aspergillus fumigatus </w:t>
      </w:r>
      <w:r>
        <w:rPr>
          <w:b w:val="0"/>
          <w:i w:val="0"/>
        </w:rPr>
        <w:t>Slide 65</w:t>
      </w:r>
      <w:r>
        <w:rPr>
          <w:b w:val="0"/>
          <w:i w:val="0"/>
        </w:rPr>
        <w:t>Treatment/Therapy</w:t>
      </w:r>
      <w:r>
        <w:rPr>
          <w:b w:val="0"/>
          <w:i w:val="0"/>
        </w:rPr>
        <w:t>Not covered in the lecture</w:t>
      </w:r>
      <w:r>
        <w:rPr>
          <w:b w:val="0"/>
          <w:i w:val="0"/>
        </w:rPr>
        <w:t>Mortality ★</w:t>
      </w:r>
      <w:r>
        <w:rPr>
          <w:b w:val="0"/>
          <w:i w:val="0"/>
        </w:rPr>
        <w:t>Not covered in the lecture</w:t>
      </w:r>
    </w:p>
    <w:p>
      <w:pPr>
        <w:pStyle w:val="Heading1"/>
        <w:spacing w:before="280" w:after="100"/>
      </w:pPr>
      <w:r>
        <w:rPr>
          <w:rFonts w:ascii="Georgia" w:hAnsi="Georgia"/>
          <w:color w:val="7A2D30"/>
        </w:rPr>
        <w:t>Lecture 36 · Chronic Obstructive Pulmonary Disease</w:t>
      </w:r>
    </w:p>
    <w:p>
      <w:pPr>
        <w:spacing w:after="120"/>
      </w:pPr>
      <w:r>
        <w:rPr>
          <w:b w:val="0"/>
          <w:i w:val="0"/>
        </w:rPr>
        <w:t>Lauren Reynolds, MSPA, PA-C · 1 conditions · source: 37. svCOPD 2026.pptx</w:t>
      </w:r>
    </w:p>
    <w:p>
      <w:pPr>
        <w:spacing w:after="120"/>
      </w:pPr>
      <w:r>
        <w:rPr>
          <w:b/>
          <w:i w:val="0"/>
        </w:rPr>
        <w:t>Note:</w:t>
      </w:r>
      <w:r>
        <w:rPr>
          <w:b w:val="0"/>
          <w:i w:val="0"/>
        </w:rPr>
        <w:t xml:space="preserve"> Built from the slides plus the lecture recording: the recording only chooses which facts to star, it adds no content. Both the 2020 four-group (A to D) and the 2023 and 2026 three-group (A, B, E) schemes are on the slides. Where the lecturer said any single exacerbation makes a patient high risk, the slides' definition (2 or more moderate, or 1 leading to hospitalization) is used. Brand names, device brands and dosing are left out.</w:t>
      </w:r>
    </w:p>
    <w:p>
      <w:pPr>
        <w:spacing w:after="120"/>
      </w:pPr>
      <w:r>
        <w:rPr>
          <w:b w:val="0"/>
          <w:i w:val="0"/>
        </w:rPr>
        <w:t>Chronic obstructive pulmonary disease (COPD)</w:t>
      </w:r>
      <w:r>
        <w:rPr>
          <w:b w:val="0"/>
          <w:i w:val="0"/>
        </w:rPr>
        <w:t>★ Professor emphasized</w:t>
      </w:r>
    </w:p>
    <w:p>
      <w:pPr>
        <w:spacing w:after="120"/>
      </w:pPr>
      <w:r>
        <w:rPr>
          <w:b w:val="0"/>
          <w:i w:val="0"/>
        </w:rPr>
        <w:t>★ The group (symptoms times risk) sets the treatment; know both the 2020 A to D and the current A, B, E schemes; spirometry confirms the diagnosis; the airflow grade, assessment test, dyspnea grade and BODE score are testable calculations.</w:t>
      </w:r>
    </w:p>
    <w:p>
      <w:pPr>
        <w:spacing w:after="120"/>
      </w:pPr>
      <w:r>
        <w:rPr>
          <w:b w:val="0"/>
          <w:i w:val="0"/>
        </w:rPr>
        <w:t>Name of Condition</w:t>
      </w:r>
      <w:r>
        <w:rPr>
          <w:b w:val="0"/>
          <w:i w:val="0"/>
        </w:rPr>
        <w:t xml:space="preserve">Chronic obstructive pulmonary disease (COPD) / chronic obstructive lung disease (COLD) </w:t>
      </w:r>
      <w:r>
        <w:rPr>
          <w:b w:val="0"/>
          <w:i w:val="0"/>
        </w:rPr>
        <w:t>Slides 1, 5</w:t>
      </w:r>
      <w:r>
        <w:rPr>
          <w:b w:val="0"/>
          <w:i w:val="0"/>
        </w:rPr>
        <w:t>Definition</w:t>
      </w:r>
      <w:r>
        <w:rPr>
          <w:b w:val="0"/>
          <w:i w:val="0"/>
          <w:highlight w:val="yellow"/>
        </w:rPr>
        <w:t>★ Persistent airflow obstruction plus respiratory symptoms</w:t>
      </w:r>
      <w:r>
        <w:rPr>
          <w:b w:val="0"/>
          <w:i w:val="0"/>
        </w:rPr>
        <w:t xml:space="preserve"> caused by inhaled particulate exposure in the setting of genetic, developmental and social factors; an umbrella of chronic bronchitis and emphysema. Chronic bronchitis without airflow obstruction is not COPD </w:t>
      </w:r>
      <w:r>
        <w:rPr>
          <w:b w:val="0"/>
          <w:i w:val="0"/>
        </w:rPr>
        <w:t>Slides 5–7</w:t>
      </w:r>
      <w:r>
        <w:rPr>
          <w:b w:val="0"/>
          <w:i w:val="0"/>
        </w:rPr>
        <w:t>Etiology (cause)</w:t>
      </w:r>
      <w:r>
        <w:rPr>
          <w:b w:val="0"/>
          <w:i w:val="0"/>
          <w:highlight w:val="yellow"/>
        </w:rPr>
        <w:t>★ Tobacco smoke (about 90%)</w:t>
      </w:r>
      <w:r>
        <w:rPr>
          <w:b w:val="0"/>
          <w:i w:val="0"/>
        </w:rPr>
        <w:t xml:space="preserve">; biomass burning (indoor cooking and heating, major in low- and middle-income countries); occupational coal dust, gold mining, welding, fumes; alpha-1 antitrypsin deficiency (about 3 to 4 per 10,000); sedentary lifestyle </w:t>
      </w:r>
      <w:r>
        <w:rPr>
          <w:b w:val="0"/>
          <w:i w:val="0"/>
        </w:rPr>
        <w:t>Slides 10–12, 19</w:t>
      </w:r>
      <w:r>
        <w:rPr>
          <w:b w:val="0"/>
          <w:i w:val="0"/>
        </w:rPr>
        <w:t>Epidemiology (who)</w:t>
      </w:r>
      <w:r>
        <w:rPr>
          <w:b w:val="0"/>
          <w:i w:val="0"/>
        </w:rPr>
        <w:t xml:space="preserve">About 6% of Americans; third leading cause of death worldwide (2023); underdiagnosis very common; symptoms begin in midlife </w:t>
      </w:r>
      <w:r>
        <w:rPr>
          <w:b w:val="0"/>
          <w:i w:val="0"/>
        </w:rPr>
        <w:t>Slides 8–9</w:t>
      </w:r>
      <w:r>
        <w:rPr>
          <w:b w:val="0"/>
          <w:i w:val="0"/>
        </w:rPr>
        <w:t>Risk Factors</w:t>
      </w:r>
      <w:r>
        <w:rPr>
          <w:b w:val="0"/>
          <w:i w:val="0"/>
        </w:rPr>
        <w:t xml:space="preserve">Smoking, biomass smoke, occupational exposures, alpha-1 antitrypsin deficiency (age 45 or under, nonsmoker, basilar emphysema, family history), inactivity </w:t>
      </w:r>
      <w:r>
        <w:rPr>
          <w:b w:val="0"/>
          <w:i w:val="0"/>
        </w:rPr>
        <w:t>Slides 10–12, 19</w:t>
      </w:r>
      <w:r>
        <w:rPr>
          <w:b w:val="0"/>
          <w:i w:val="0"/>
        </w:rPr>
        <w:t>Pathology</w:t>
      </w:r>
      <w:r>
        <w:rPr>
          <w:b w:val="0"/>
          <w:i w:val="0"/>
        </w:rPr>
        <w:t xml:space="preserve">Chronic inflammation, oxidative stress, protease-antiprotease imbalance. Chronic bronchitis subtype: airway narrowing and mucus plugging. Emphysema subtype: alveolar destruction and loss of elastic recoil; centrilobular upper-lobe in smokers, panlobular lower-lobe in alpha-1 antitrypsin deficiency. Air trapping and hyperinflation </w:t>
      </w:r>
      <w:r>
        <w:rPr>
          <w:b w:val="0"/>
          <w:i w:val="0"/>
        </w:rPr>
        <w:t>Slides 6–7, 11–15, 25</w:t>
      </w:r>
      <w:r>
        <w:rPr>
          <w:b w:val="0"/>
          <w:i w:val="0"/>
        </w:rPr>
        <w:t>Clinical Manifestation</w:t>
      </w:r>
      <w:r>
        <w:rPr>
          <w:b w:val="0"/>
          <w:i w:val="0"/>
        </w:rPr>
        <w:t xml:space="preserve">Progressive dyspnea (exertional dyspnea is the early sign), chronic cough, sputum, wheeze. Blue bloater (chronic bronchitis): sputum, rhonchi, cyanosis, edema. Pink puffer (emphysema): thin, pursed lips, barrel chest, distant breath sounds. Cor pulmonale, syncope, falls. Screen for heart disease, lung cancer, osteoporosis, depression, reflux, anemia </w:t>
      </w:r>
      <w:r>
        <w:rPr>
          <w:b w:val="0"/>
          <w:i w:val="0"/>
        </w:rPr>
        <w:t>Slides 14–22</w:t>
      </w:r>
      <w:r>
        <w:rPr>
          <w:b w:val="0"/>
          <w:i w:val="0"/>
        </w:rPr>
        <w:t>Diagnosis</w:t>
      </w:r>
      <w:r>
        <w:rPr>
          <w:b w:val="0"/>
          <w:i w:val="0"/>
          <w:highlight w:val="yellow"/>
        </w:rPr>
        <w:t>★ Spirometry before and after a bronchodilator: ratio below 0.70</w:t>
      </w:r>
      <w:r>
        <w:rPr>
          <w:b w:val="0"/>
          <w:i w:val="0"/>
        </w:rPr>
        <w:t xml:space="preserve">; response under 12% = irreversible. Airflow grade by 1-second volume: 1 at 80% or more, 2 at 50 to 79%, 3 at 30 to 49%, 4 below 30%. Assessment test 10 or more or dyspnea grade 2 or more = more symptoms. Low diffusing capacity = emphysema. Alpha-1 antitrypsin level below 11 micromol/L. Blood gas only in severe exacerbations </w:t>
      </w:r>
      <w:r>
        <w:rPr>
          <w:b w:val="0"/>
          <w:i w:val="0"/>
        </w:rPr>
        <w:t>Slides 23–31, 34–37</w:t>
      </w:r>
      <w:r>
        <w:rPr>
          <w:b w:val="0"/>
          <w:i w:val="0"/>
        </w:rPr>
        <w:t>Treatment/Therapy</w:t>
      </w:r>
      <w:r>
        <w:rPr>
          <w:b w:val="0"/>
          <w:i w:val="0"/>
          <w:highlight w:val="yellow"/>
        </w:rPr>
        <w:t>★ Group sets treatment</w:t>
      </w:r>
      <w:r>
        <w:rPr>
          <w:b w:val="0"/>
          <w:i w:val="0"/>
        </w:rPr>
        <w:t xml:space="preserve">: A one bronchodilator; B long-acting beta agonist plus antimuscarinic; E the same pair, add inhaled steroid if eosinophils 300 or more. Inhaled steroid never alone. Oral steroids for exacerbations only. Smoking cessation with counseling, pulmonary rehabilitation (B and E), yearly influenza and pneumococcal vaccines, albuterol rescue. Long-term oxygen for arterial oxygen under 55 mmHg or saturation below 88%. Exacerbation: bronchodilators, steroids, antibiotics if more and purulent sputum, noninvasive ventilation for hypercapnia. Older adults: spacer or soft mist devices, active rehabilitation referral, early palliative care </w:t>
      </w:r>
      <w:r>
        <w:rPr>
          <w:b w:val="0"/>
          <w:i w:val="0"/>
        </w:rPr>
        <w:t>Slides 38–51, 53–64</w:t>
      </w:r>
      <w:r>
        <w:rPr>
          <w:b w:val="0"/>
          <w:i w:val="0"/>
        </w:rPr>
        <w:t>Mortality ★</w:t>
      </w:r>
      <w:r>
        <w:rPr>
          <w:b w:val="0"/>
          <w:i w:val="0"/>
        </w:rPr>
        <w:t xml:space="preserve">BODE index (body mass index, obstruction, dyspnea, exercise) estimates 4-year survival: 0 to 2 points about 80%, 3 to 4 about 67%, 5 to 6 about 57%, 7 to 10 about 18%. Survival benefit: smoking cessation, long-term oxygen, noninvasive ventilation </w:t>
      </w:r>
      <w:r>
        <w:rPr>
          <w:b w:val="0"/>
          <w:i w:val="0"/>
        </w:rPr>
        <w:t>Slides 52, 63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