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Non-Selective Beta Blockers Compared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The first-generation beta blockers on the slides, by membrane-stabilizing activity, lipid solubility and intrinsic sympathomimetic activity.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6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Lipid solubility predicts central nervous system effects</w:t>
            </w:r>
            <w:r>
              <w:rPr>
                <w:b w:val="0"/>
                <w:i w:val="0"/>
              </w:rPr>
              <w:t xml:space="preserve"> (depression, nightmares, vivid dreams): propranolol and penbutolol are the highly lipid-soluble ones. </w:t>
            </w:r>
            <w:r>
              <w:rPr>
                <w:b/>
                <w:i w:val="0"/>
              </w:rPr>
              <w:t>Pindolol has the most intrinsic sympathomimetic activity</w:t>
            </w:r>
            <w:r>
              <w:rPr>
                <w:b w:val="0"/>
                <w:i w:val="0"/>
              </w:rPr>
              <w:t>, meaning it partly stimulates the receptor it blocks. (The lecturer said not to memorize the plus counts; know the pattern.)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Membrane stabilizing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Lipid solubility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Intrinsic sympathomimetic activity (ISA)</w:t>
            </w:r>
          </w:p>
        </w:tc>
        <w:tc>
          <w:tcPr>
            <w:tcW w:type="dxa" w:w="2424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Nadolol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Corgard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Penbutolol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Levatol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Pindolol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Visken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Inderal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++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Sotalol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Betapace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Blocadren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Non-selective (first generation)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Moderate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