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1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Lecture 1: Antibiotics, Antivirals and Antifungals — class identity and mechanism first, then black box warnings and high-yield adverse effects. Drug dosages are not tested.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Principles &amp; Modes of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Bacteriostatic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Inhibits a vital growth pathway without directly killing. Erythromycin, tetracyclines, sulfonamides, trimethoprim, clindamycin.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Bactericidal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Disrupts function enough that death occurs. Penicillins, cephalosporins, aminoglycosides, vancomycin, fluoroquinolones, metronidazole.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Concentration-dependent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Higher concentration, greater killing. Post-antibiotic effect present. Favours large, widely spaced doses — why aminoglycosides went once daily.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Killing plateaus; what matters is time above the minimal inhibitory concentration, target 40–70% of the interval. No post-antibiotic effect. Favours continuous or frequent infusion.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Ribosome selectivity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70S (50S + 30S) versus mammalian 80S (60S + 40S). A difference of degree, not an absolute barrier — hence dose-related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Macrolides, clindamycin, chloramphenicol, streptogramins.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Aminoglycosides, tetracyclines.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toxicity systems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Gastrointestinal, integument, hematologic, central nervous system, hepatic, renal.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Beta-lactams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beta-lactam ring mimics two D-alanine residues; the penicillin-binding protein binds it by mistake and is covalently inactivated. Chains still form, cross-links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Syphilis, gas gangrene, meningococcus. Good Gram-positive cocci, NO Staphylococcus, no aerobic Gram-negatives.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Dosage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V potassium oral (acid stable) · penicillin G intravenous · penicillin G benzathine intramuscular depot, one-time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Aminopenicillins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Ampicillin, amoxicillin. Enterococcus, Listeria, endocarditis prophylaxis, upper respiratory infection, community-acquired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Beta-lactamase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Sulbactam + ampicillin (Unasyn) · tazobactam + piperacillin (Zosyn) · clavulanate + amoxicillin (Augmentin). NO antibacterial activity of their own; irreversibly inactivate the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the inhibitor buys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Bacteroides and methicillin-susceptible Staphylococcus aureus. Drug of choice for skin/soft tissue, diabetic foot, animal and human bites.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Penicillinase-resistant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 — built solely for methicillin-susceptible Staphylococcus aureus. Defeated by methicillin resistance; vancomycin is then the choice.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 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 the generations = more Gram-negative, less Gram-positive — EXCEPT the 4th, which gains Gram-negative without losing Gram-positive.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than 1%. A reported penicillin allergy does not by itself exclude a cephalosporin.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Cephalosporins to know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Cefazolin/cephalexin 1st · cefepime 4th (neutropenic fever, nosocomial, pseudomonal) · ceftaroline 5th is the one with methicillin-resistant coverage · ceftolozane 5th is the antipseudomonal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Ceftriaxone versus cefotaxime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 needs no renal adjustment but is barred in the first 30 days of life; cefotaxime is preferred in neonatal fever or sepsis.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Aztreonam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ONLY, spectrum resembling the aminoglycosides. No cross-reactivity with other beta-lactams — usable in true penicillin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Carbapenems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broad: Gram-positive (not methicillin-resistant), Gram-negative, Pseudomonas EXCEPT ertapenem, anaerobes. For extended-spectrum beta-lactamase producers, multidrug-resistant Gram-negatives, meningitis. Seizures with imipenem.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Glycopeptides &amp; Lipopeptides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a beta-lactam. Binds the two D-alanine residues to block cross-linking — covers the substrate rather than disabling the enzyme, so resistance is harder to develop.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coverage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ONLY. Penicillin-allergy infection, methicillin-resistant Staphylococcus aureus, Clostridium difficile by mouth, endocarditis, osteomyelitis.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Trough drawn 15–30 minutes before the next dose, around the 3rd or 4th dose. Watch renal clearance, ototoxicity, nephrotoxicity.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 man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Infusion-related reaction, with fever, chills and 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Minimal inhibitory concentration ≥ 2 mg/L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 ratio becomes hard to achieve — consider an alternative such as linezolid rather than pushing the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Daptomycin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depolarization inhibiting DNA, RNA and protein synthesis. CANNOT be used in pneumonia. Monitor muscle pain and creatine phosphokinase.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Protein Synthesis Inhibitors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50S, blocks transpeptidation. Gram-positive aerobes plus ATYPICALS (Legionella, Mycoplasma, Chlamydophila, Chlamydia). QT prolongation and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 interactions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Cytochrome P450 3A inhibition, erythromycin &gt; clarithromycin &gt; azithromycin. Azithromycin is the one to reach for when interactions matter.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Clindamycin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aerobes including methicillin-resistant Staphylococcus aureus, plus Gram-positive AND Gram-negative anaerobes. NO Gram-negative aerobic coverage. Toxin-mediated disease. Clostridium difficile.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30S, binds 16S ribosomal RNA and blocks transfer RNA at the A site. Bacteriostatic. Excellent for atypicals and animal-borne organisms.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 cautions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Chelate iron and calcium. Photosensitivity, tooth discoloration, skeletal growth depression — avoid under 8 years and in the 2nd and 3rd trimesters.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Aminoglycosides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Gram-negatives including Pseudomonas; Enterococcus only at synergy dosing. Post-antibiotic effect → once daily. NEPHROTOXIC and OTOTOXIC.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Linezolid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50S. Resistant Gram-positives — multidrug-resistant pneumococcus, methicillin-resistant Staphylococcus aureus, vancomycin-resistant Enterococcus. No Gram-negatives. Thrombocytopenia; serotonin syndrome with selective serotonin reuptake inhibitors, tyramine, pseudoephedrine.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Tigecycline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Glycylcycline, 30S, bacteriostatic. Complicated skin and intra-abdominal infection. Covers Enterococcus faecalis but NOT vancomycin-resistant Enterococcus.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DNA, Folate &amp; Membrane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DUAL: inhibits DNA gyrase (topoisomerase II) forming a quinolone-DNA-gyrase complex with induced cleavage, and inhibits topoisomerase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Levofloxacin versus moxifloxacin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Levofloxacin HAS Pseudomonas coverage; moxifloxacin does not and must NOT be used for urinary tract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Tendonitis and Achilles rupture, peripheral neuropathy, central nervous system toxicity, QT prolongation, photosensitivity. Caution under 18. Chelated by iron, antacids, calcium, dairy.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sequential steps: sulfamethoxazole blocks para-aminobenzoic acid → dihydrofolic acid; trimethoprim blocks dihydrofolic acid → tetrahydrofolic acid.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uses and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Covers methicillin-resistant Staphylococcus aureus, NOT enterococci. Pneumocystis jirovecii treatment and prophylaxis. Stevens-Johnson syndrome, blood dyscrasias, raises the international normalised ratio with warfarin.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Metronidazole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Interacts with bacterial DNA causing helical structure loss and strand breakage. Anaerobes and parasites. Drug of choice for Clostridium difficile. DISULFIRAM-LIKE REACTION with ethanol.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Polymyxins — BLACK BOX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Nephrotoxicity, neurotoxicity, neuromuscular blockade. The only warnings this deck labels black box. Detergent-like disruption of the Gram-negative outer membrane.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Herpes simplex 1 versus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1: mouth, face, skin, esophagus, brain. Type 2: genitals, rectum, hands,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Varicella-zoster / cytomegalovirus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Varicella-zoster: chickenpox and shingles. Cytomegalovirus: retinitis, esophagitis, colitis.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Guanine analog LACKING the sugar moiety. Selectively phosphorylated by VIRAL THYMIDINE KINASE, incorporated into viral DNA; the missing sugar prevents elongation.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/ valacyclovir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Herpes simplex and varicella-zoster. Valacyclovir is the prodrug with far better oral absorption.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vomiting, rash, bone marrow suppression, central nervous system effects (seizures, delirium, tremor), CRYSTALLISES IN THE RENAL TUBULE — maintain 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Ganciclovir / valganciclovir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CYTOMEGALOVIRUS in transplant and immunocompromised patients. Neutropenia and thrombocytopenia; about a THIRD must stop intravenous treatment for side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Oseltamivir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Prodrug → carboxylate. Inhibits NEURAMINIDASE so budding progeny cannot be cleaved free. Influenza A and B. Oral only, renally adjusted.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48-hour window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 must start within 48 hours — it blocks release of new virus, so late treatment has little to act on. Acyclovir within 24 hours of chickenpox shortens the illness but does NOT cure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prodrugs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Valacyclovir, famciclovir, valganciclovir, oseltamivir — each exists to solve poor oral absorption of its parent.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Fungal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Eukaryotic. Chitin cell wall, ERGOSTEROL membrane, different ribosomes, distinct nuclear membrane. Resistant to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Sort in two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Wall or membrane? Echinocandins are the only wall agents. Then: bind ergosterol (polyenes) or block its synthesis (azoles, allylamines)? Griseofulvin and flucytosine sit outside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Polyenes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B, nystatin, natamycin. Bind ergosterol and form channels — potassium and magnesium leak out.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Amphotericin B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Fever and chills from interleukin-1 and tumour necrosis factor (pretreat). Hypokalaemia, hypomagnesaemia, hypotension, renal tubule damage — hydrate with normal saline. Lipid formulations cost 20–50× more, less 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 fungal cytochrome P450 14-alpha-demethylase (lanosterol → ergosterol). Because the target is a cytochrome P450 enzyme, they interact with human ones too.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Fluconazole: best oral absorption, enters the central nervous system, cryptococcal meningitis. Voriconazole: systemic aspergillosis, VISION effects ~30%. Posaconazole: the ONLY azole for Zygomycetes. Itraconazole: blastomycosis, histoplasmosis. Ketoconazole: rarely used.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Echinocandins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Caspofungin, micafungin, anidulafungin. Inhibit 1,3-beta-D-glucan synthase — the one target with no mammalian counterpart. Largely a salvage role.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Allylamines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Naftifine (topical), terbinafine (oral and topical). Inhibit squalene epoxidase. Superficial dermatophytes.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Griseofulvin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Interrupts mitotic spindles. From Penicillium griseofulvum. Deposited in keratin precursor cells — scalp ~1 month, fingernails 6–9 months, toenails up to 12. High-fat meal increases absorption. NOT Candida; fungistatic. INDUCES cytochrome P450 1A2 and 2C9.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Flucytosine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Converted by CYTOSINE DEAMINASE, which human cells lack — that is the selectivity. Inhibits thymidylate synthase. With amphotericin B in cryptococcal meningitis. Bone marrow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Pedis = athlete's foot · corporis = ringworm · cruris = jock itch · unguium = onychomycosis (nails).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