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wins.</w:t>
            </w:r>
            <w:r>
              <w:rPr>
                <w:b w:val="0"/>
                <w:i w:val="0"/>
              </w:rPr>
              <w:t xml:space="preserve"> Four spoken statements differ from the deck; the deck is what this guide teaches.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(2) She called BNP </w:t>
            </w:r>
            <w:r>
              <w:rPr>
                <w:b w:val="0"/>
                <w:i/>
              </w:rPr>
              <w:t>“not super ideal for guiding therapy”</w:t>
            </w:r>
            <w:r>
              <w:rPr>
                <w:b w:val="0"/>
                <w:i w:val="0"/>
              </w:rPr>
              <w:t xml:space="preserve"> and not for serial trending [part 1, 19:40–19:53]; slide 14 lists guiding therapy and monitoring the course as applications.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guiding therapy · monitoring the course · risk stratification (cardiovascular mortality, readmission).</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