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Read from one transcript so far</w:t>
            </w:r>
            <w:r>
              <w:rPr>
                <w:b w:val="0"/>
                <w:i w:val="0"/>
              </w:rPr>
              <w:t xml:space="preserve"> (Notability’s own); the second, independent transcription was still running when this guide was built, so the quotes below have not yet been cross-checked against it.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and </w:t>
            </w:r>
            <w:r>
              <w:rPr>
                <w:b/>
                <w:i w:val="0"/>
              </w:rPr>
              <w:t>five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about minute 10]</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about minute 34]</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about minute 13] — and of autoimmunity, </w:t>
                  </w:r>
                  <w:r>
                    <w:rPr>
                      <w:b w:val="0"/>
                      <w:i/>
                      <w:sz w:val="18"/>
                    </w:rPr>
                    <w:t>“type 1 is not involved in either of these.”</w:t>
                  </w:r>
                  <w:r>
                    <w:rPr>
                      <w:b w:val="0"/>
                      <w:i w:val="0"/>
                      <w:sz w:val="18"/>
                    </w:rPr>
                    <w:t xml:space="preserve"> [part 2, about minute 21]</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we associate [it]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about minute 32]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 63–64).</w:t>
                  </w:r>
                </w:p>
              </w:tc>
            </w:tr>
            <w:tr>
              <w:tc>
                <w:tcPr>
                  <w:tcW w:type="dxa" w:w="5112"/>
                </w:tcPr>
                <w:p>
                  <w:pPr>
                    <w:spacing w:after="40"/>
                  </w:pPr>
                  <w:r>
                    <w:rPr>
                      <w:sz w:val="18"/>
                    </w:rPr>
                  </w:r>
                  <w:r>
                    <w:rPr>
                      <w:b w:val="0"/>
                      <w:i/>
                      <w:sz w:val="18"/>
                    </w:rPr>
                    <w:t>“This is not a chart you need to memorize.”</w:t>
                  </w:r>
                  <w:r>
                    <w:rPr>
                      <w:b w:val="0"/>
                      <w:i w:val="0"/>
                      <w:sz w:val="18"/>
                    </w:rPr>
                    <w:t xml:space="preserve"> [part 1, about minute 4]</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about minute 19]</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about minutes 29–30]</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about minute 37]</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about minutes 38–39]</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 by which time the exposed skin has shed, so the first contact produces no rash.</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w:t>
            </w:r>
          </w:p>
          <w:p>
            <w:pPr>
              <w:pStyle w:val="ListBullet"/>
              <w:spacing w:after="40"/>
            </w:pPr>
            <w:r>
              <w:rPr>
                <w:b w:val="0"/>
                <w:i w:val="0"/>
                <w:sz w:val="20"/>
              </w:rPr>
              <w:t>“Nobody actually dies of HIV [human immunodeficiency virus]. They die of the things you catch because of the suppressed immune system.”</w:t>
            </w:r>
          </w:p>
          <w:p>
            <w:pPr>
              <w:spacing w:after="120"/>
            </w:pPr>
            <w:r>
              <w:rPr>
                <w:b/>
                <w:i w:val="0"/>
              </w:rPr>
              <w:t>Two things to distrust in the transcript:</w:t>
            </w:r>
            <w:r>
              <w:rPr>
                <w:b w:val="0"/>
                <w:i w:val="0"/>
              </w:rPr>
              <w:t xml:space="preserve"> it has the lecturer describe immune complexes as “a type 2 reaction” at the start of part 2 (slide 38 says type III, and it is type III) and allergy as “IgA [immunoglobulin A] mediated” (slide 23 says immunoglobulin E). Both may be transcription errors; the second transcription will settle it.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no allergic disease. Why: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eradicated (Western Europe, North America) by better hygiene, vaccination and antibiotics, the immune system is underused and less successfully regulated.</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increased basophils</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leukotriene synthesis</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The more regulatory T cells in a tumor, the worse the prognosis.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in development, not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45 minutes, </w:t>
            </w:r>
            <w:r>
              <w:rPr>
                <w:b/>
                <w:i w:val="0"/>
              </w:rPr>
              <w:t>both transcripts read and compared</w:t>
            </w:r>
            <w:r>
              <w:rPr>
                <w:b w:val="0"/>
                <w:i w:val="0"/>
              </w:rPr>
              <w:t xml:space="preserve">; the quotes below appear in both. The recording </w:t>
            </w:r>
            <w:r>
              <w:rPr>
                <w:b/>
                <w:i w:val="0"/>
              </w:rPr>
              <w:t>stops at the break, around slide 43</w:t>
            </w:r>
            <w:r>
              <w:rPr>
                <w:b w:val="0"/>
                <w:i w:val="0"/>
              </w:rPr>
              <w:t xml:space="preserve"> (“this is a very logical place for us to pause”), so complement fixation, fluorescent antibodies, immunoassays, in vivo testing and viral diagnosis have no audio. The lecture is taught through laboratory anecdote and gives almost no exam steer — the same pattern as this lecturer’s Exam 1 lectures.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bl>
          <w:p/>
          <w:p>
            <w:pPr>
              <w:spacing w:after="80"/>
            </w:pPr>
          </w:p>
          <w:p>
            <w:pPr>
              <w:spacing w:after="120"/>
            </w:pPr>
            <w:r>
              <w:rPr>
                <w:b/>
                <w:i w:val="0"/>
              </w:rPr>
              <w:t>One statement to hold loosely:</w:t>
            </w:r>
            <w:r>
              <w:rPr>
                <w:b w:val="0"/>
                <w:i w:val="0"/>
              </w:rPr>
              <w:t xml:space="preserve"> slide 18 and the recording both say chocolate agar is “mainly used for anaerobic culturing,” and the lecturer describes the candle jar that raises carbon dioxide. Learn it as the slide states it for this exam; it is flagged for review rather than silently changed.</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more accurate) than testing for the microbe itself: the rapid strep test takes </w:t>
      </w:r>
      <w:r>
        <w:rPr>
          <w:b/>
          <w:i w:val="0"/>
        </w:rPr>
        <w:t>10–15 minutes</w:t>
      </w:r>
      <w:r>
        <w:rPr>
          <w:b w:val="0"/>
          <w:i w:val="0"/>
        </w:rPr>
        <w:t xml:space="preserve"> — but you need a hypothesis first to choose the test (fever, sore throat and pus pockets on the tonsils suggest strep throat).</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so the methods are very sensitive.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w:t>
            </w:r>
            <w:r>
              <w:rPr>
                <w:b/>
                <w:i w:val="0"/>
                <w:sz w:val="18"/>
              </w:rPr>
              <w:t>Second test used to verify human immunodeficiency virus status</w:t>
            </w:r>
            <w:r>
              <w:rPr>
                <w:b w:val="0"/>
                <w:i w:val="0"/>
                <w:sz w:val="18"/>
              </w:rPr>
              <w:t>; also bovine spongiform encephalopathy, Lyme disease, hepatitis B</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“Mainly used for anaerobic culturing” (the slide’s wording)</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gives </w:t>
      </w:r>
      <w:r>
        <w:rPr>
          <w:b/>
          <w:i w:val="0"/>
        </w:rPr>
        <w:t>which drug is effective and at what dose</w:t>
      </w:r>
      <w:r>
        <w:rPr>
          <w:b w:val="0"/>
          <w:i w:val="0"/>
        </w:rPr>
        <w:t xml:space="preserve">, and may indicate which combinations can be used. </w:t>
      </w:r>
      <w:r>
        <w:rPr>
          <w:b/>
          <w:i w:val="0"/>
        </w:rPr>
        <w:t>Larger zones of inhibition</w:t>
      </w:r>
      <w:r>
        <w:rPr>
          <w:b w:val="0"/>
          <w:i w:val="0"/>
        </w:rPr>
        <w:t xml:space="preserve"> mean a more effective agent. </w:t>
      </w:r>
      <w:r>
        <w:rPr>
          <w:b/>
          <w:i w:val="0"/>
        </w:rPr>
        <w:t>Minimum inhibitory concentration</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