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spacing w:after="120"/>
      </w:pPr>
      <w:r>
        <w:rPr>
          <w:b w:val="0"/>
          <w:i w:val="0"/>
        </w:rPr>
        <w:t>Also tested</w:t>
      </w:r>
    </w:p>
    <w:p>
      <w:pPr>
        <w:pStyle w:val="ListBullet"/>
        <w:spacing w:after="40"/>
      </w:pPr>
      <w:r>
        <w:rPr>
          <w:b/>
          <w:i w:val="0"/>
          <w:sz w:val="20"/>
        </w:rPr>
        <w:t>Disease registry.</w:t>
      </w:r>
      <w:r>
        <w:rPr>
          <w:b w:val="0"/>
          <w:i w:val="0"/>
          <w:sz w:val="20"/>
        </w:rPr>
        <w:t xml:space="preserve"> Registries are usually established by state government to collect disease-specific data; because collection continues, they provide information about trends over time, showing how a disease behaves across years.</w:t>
      </w:r>
    </w:p>
    <w:p>
      <w:pPr>
        <w:pStyle w:val="ListBullet"/>
        <w:spacing w:after="40"/>
      </w:pPr>
      <w:r>
        <w:rPr>
          <w:b/>
          <w:i w:val="0"/>
          <w:sz w:val="20"/>
        </w:rPr>
        <w:t>Behavioral Risk Factor Surveillance Survey.</w:t>
      </w:r>
      <w:r>
        <w:rPr>
          <w:b w:val="0"/>
          <w:i w:val="0"/>
          <w:sz w:val="20"/>
        </w:rPr>
        <w:t xml:space="preserve"> A telephone survey of health-related risk behaviors that also captures chronic health conditions among United States residents and preventive service use.</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val="0"/>
          <w:i w:val="0"/>
        </w:rPr>
        <w:t>Also tested</w:t>
      </w:r>
    </w:p>
    <w:p>
      <w:pPr>
        <w:pStyle w:val="ListBullet"/>
        <w:spacing w:after="40"/>
      </w:pPr>
      <w:r>
        <w:rPr>
          <w:b/>
          <w:i w:val="0"/>
          <w:sz w:val="20"/>
        </w:rPr>
        <w:t>Judging good information.</w:t>
      </w:r>
      <w:r>
        <w:rPr>
          <w:b w:val="0"/>
          <w:i w:val="0"/>
          <w:sz w:val="20"/>
        </w:rPr>
        <w:t xml:space="preserve"> A clinician judges information by critically analyzing it and distinguishing strong from weak. A trusting patient-provider relationship and the quality of the source material behind the provider's knowledge also bear on it.</w:t>
      </w:r>
    </w:p>
    <w:p>
      <w:pPr>
        <w:pStyle w:val="ListBullet"/>
        <w:spacing w:after="40"/>
      </w:pPr>
      <w:r>
        <w:rPr>
          <w:b/>
          <w:i w:val="0"/>
          <w:sz w:val="20"/>
        </w:rPr>
        <w:t>Good medical decision making.</w:t>
      </w:r>
      <w:r>
        <w:rPr>
          <w:b w:val="0"/>
          <w:i w:val="0"/>
          <w:sz w:val="20"/>
        </w:rPr>
        <w:t xml:space="preserve"> It depends on good information from history, examination and knowledge, and also relies on patient goals and values, provider beliefs, and the risks, benefits, effectiveness, adverse reactions and cost of any intervention.</w:t>
      </w:r>
    </w:p>
    <w:p>
      <w:pPr>
        <w:pStyle w:val="ListBullet"/>
        <w:spacing w:after="40"/>
      </w:pPr>
      <w:r>
        <w:rPr>
          <w:b/>
          <w:i w:val="0"/>
          <w:sz w:val="20"/>
        </w:rPr>
        <w:t>Diagnosis question.</w:t>
      </w:r>
      <w:r>
        <w:rPr>
          <w:b w:val="0"/>
          <w:i w:val="0"/>
          <w:sz w:val="20"/>
        </w:rPr>
        <w:t xml:space="preserve"> It asks how accurate the tests used to identify the disease are, so test properties are studied as a topic in their own right rather than assumed.</w:t>
      </w:r>
    </w:p>
    <w:p>
      <w:pPr>
        <w:pStyle w:val="ListBullet"/>
        <w:spacing w:after="40"/>
      </w:pPr>
      <w:r>
        <w:rPr>
          <w:b/>
          <w:i w:val="0"/>
          <w:sz w:val="20"/>
        </w:rPr>
        <w:t>Abnormality question.</w:t>
      </w:r>
      <w:r>
        <w:rPr>
          <w:b w:val="0"/>
          <w:i w:val="0"/>
          <w:sz w:val="20"/>
        </w:rPr>
        <w:t xml:space="preserve"> It asks whether the patient is sick or well, and sits alongside Frequency, which asks how often a disease occurs, as a question to settle before any answer about a patient is possible.</w:t>
      </w:r>
    </w:p>
    <w:p>
      <w:pPr>
        <w:pStyle w:val="ListBullet"/>
        <w:spacing w:after="40"/>
      </w:pPr>
      <w:r>
        <w:rPr>
          <w:b/>
          <w:i w:val="0"/>
          <w:sz w:val="20"/>
        </w:rPr>
        <w:t>Prevention questions.</w:t>
      </w:r>
      <w:r>
        <w:rPr>
          <w:b w:val="0"/>
          <w:i w:val="0"/>
          <w:sz w:val="20"/>
        </w:rPr>
        <w:t xml:space="preserve"> Two questions fall under it: whether prevention stops disease arising, and whether early detection helps. They are different claims, since stopping disease from arising is not the same as finding it sooner once it has.</w:t>
      </w:r>
    </w:p>
    <w:p>
      <w:pPr>
        <w:pStyle w:val="ListBullet"/>
        <w:spacing w:after="40"/>
      </w:pPr>
      <w:r>
        <w:rPr>
          <w:b/>
          <w:i w:val="0"/>
          <w:sz w:val="20"/>
        </w:rPr>
        <w:t>Sources of clinical answers.</w:t>
      </w:r>
      <w:r>
        <w:rPr>
          <w:b w:val="0"/>
          <w:i w:val="0"/>
          <w:sz w:val="20"/>
        </w:rPr>
        <w:t xml:space="preserve"> Answers to clinical questions are drawn from experience, knowledge and clinical research. Leaning on experience alone is the eminence-based reasoning that evidence-based practice was formulated against.</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spacing w:after="120"/>
      </w:pPr>
      <w:r>
        <w:rPr>
          <w:b w:val="0"/>
          <w:i w:val="0"/>
        </w:rPr>
        <w:t>Also tested</w:t>
      </w:r>
    </w:p>
    <w:p>
      <w:pPr>
        <w:pStyle w:val="ListBullet"/>
        <w:spacing w:after="40"/>
      </w:pPr>
      <w:r>
        <w:rPr>
          <w:b/>
          <w:i w:val="0"/>
          <w:sz w:val="20"/>
        </w:rPr>
        <w:t>Practice guidelines.</w:t>
      </w:r>
      <w:r>
        <w:rPr>
          <w:b w:val="0"/>
          <w:i w:val="0"/>
          <w:sz w:val="20"/>
        </w:rPr>
        <w:t xml:space="preserve"> They are produced at the level of the hospital or clinic, nationally, and by professional bodies, such as the Centers for Disease Control and Prevention (national) and the American Academy of Pediatrics (professional).</w:t>
      </w: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spacing w:after="120"/>
      </w:pPr>
      <w:r>
        <w:rPr>
          <w:b w:val="0"/>
          <w:i w:val="0"/>
        </w:rPr>
        <w:t>Also tested</w:t>
      </w:r>
    </w:p>
    <w:p>
      <w:pPr>
        <w:pStyle w:val="ListBullet"/>
        <w:spacing w:after="40"/>
      </w:pPr>
      <w:r>
        <w:rPr>
          <w:b/>
          <w:i w:val="0"/>
          <w:sz w:val="20"/>
        </w:rPr>
        <w:t>Database for literature reviews.</w:t>
      </w:r>
      <w:r>
        <w:rPr>
          <w:b w:val="0"/>
          <w:i w:val="0"/>
          <w:sz w:val="20"/>
        </w:rPr>
        <w:t xml:space="preserve"> The Cochrane Database of Systematic Reviews is named as the source for literature reviews, while original articles are found through MEDLINE and PubMed.</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val="0"/>
          <w:i w:val="0"/>
        </w:rPr>
        <w:t>Also tested</w:t>
      </w:r>
    </w:p>
    <w:p>
      <w:pPr>
        <w:pStyle w:val="ListBullet"/>
        <w:spacing w:after="40"/>
      </w:pPr>
      <w:r>
        <w:rPr>
          <w:b/>
          <w:i w:val="0"/>
          <w:sz w:val="20"/>
        </w:rPr>
        <w:t>Secondary research.</w:t>
      </w:r>
      <w:r>
        <w:rPr>
          <w:b w:val="0"/>
          <w:i w:val="0"/>
          <w:sz w:val="2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spacing w:after="120"/>
      </w:pPr>
      <w:r>
        <w:rPr>
          <w:b w:val="0"/>
          <w:i w:val="0"/>
        </w:rPr>
        <w:t>Also tested</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val="0"/>
          <w:i w:val="0"/>
        </w:rPr>
        <w:t>Also tested</w:t>
      </w:r>
    </w:p>
    <w:p>
      <w:pPr>
        <w:pStyle w:val="ListBullet"/>
        <w:spacing w:after="40"/>
      </w:pPr>
      <w:r>
        <w:rPr>
          <w:b/>
          <w:i w:val="0"/>
          <w:sz w:val="20"/>
        </w:rPr>
        <w:t>Publication bias.</w:t>
      </w:r>
      <w:r>
        <w:rPr>
          <w:b w:val="0"/>
          <w:i w:val="0"/>
          <w:sz w:val="20"/>
        </w:rPr>
        <w:t xml:space="preserve"> A sponsoring company may contribute because it is less likely to support research unfavorable to its product; journal editor preference is the other force keeping results that show nothing out of the literature.</w:t>
      </w:r>
    </w:p>
    <w:p>
      <w:pPr>
        <w:pStyle w:val="ListBullet"/>
        <w:spacing w:after="40"/>
      </w:pPr>
      <w:r>
        <w:rPr>
          <w:b/>
          <w:i w:val="0"/>
          <w:sz w:val="20"/>
        </w:rPr>
        <w:t>Confounding variable.</w:t>
      </w:r>
      <w:r>
        <w:rPr>
          <w:b w:val="0"/>
          <w:i w:val="0"/>
          <w:sz w:val="2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val="0"/>
          <w:i w:val="0"/>
        </w:rPr>
        <w:t xml:space="preserve">The framing question: </w:t>
      </w:r>
      <w:r>
        <w:rPr>
          <w:b/>
          <w:i w:val="0"/>
        </w:rPr>
        <w:t>how do you know that what you do and how you do it really works?</w:t>
      </w:r>
    </w:p>
    <w:p>
      <w:pPr>
        <w:spacing w:after="120"/>
      </w:pPr>
      <w:r>
        <w:rPr>
          <w:b w:val="0"/>
          <w:i w:val="0"/>
        </w:rPr>
        <w:t>Also tested</w:t>
      </w:r>
    </w:p>
    <w:p>
      <w:pPr>
        <w:pStyle w:val="ListBullet"/>
        <w:spacing w:after="40"/>
      </w:pPr>
      <w:r>
        <w:rPr>
          <w:b/>
          <w:i w:val="0"/>
          <w:sz w:val="20"/>
        </w:rPr>
        <w:t>Evidence-based practice.</w:t>
      </w:r>
      <w:r>
        <w:rPr>
          <w:b w:val="0"/>
          <w:i w:val="0"/>
          <w:sz w:val="20"/>
        </w:rPr>
        <w:t xml:space="preserve"> Beyond expertise and external evidence, it also considers the individual patient's situation and preferences.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spacing w:after="120"/>
      </w:pPr>
      <w:r>
        <w:rPr>
          <w:b w:val="0"/>
          <w:i w:val="0"/>
        </w:rPr>
        <w:t>Also tested</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val="0"/>
          <w:i w:val="0"/>
        </w:rPr>
        <w:t>Also tested</w:t>
      </w:r>
    </w:p>
    <w:p>
      <w:pPr>
        <w:pStyle w:val="ListBullet"/>
        <w:spacing w:after="40"/>
      </w:pPr>
      <w:r>
        <w:rPr>
          <w:b/>
          <w:i w:val="0"/>
          <w:sz w:val="20"/>
        </w:rPr>
        <w:t>Assessment evidence.</w:t>
      </w:r>
      <w:r>
        <w:rPr>
          <w:b w:val="0"/>
          <w:i w:val="0"/>
          <w:sz w:val="2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evaluation of evidence. Strong design produces strong data, which produces valid and reliable results, which supports better clinical decisions.</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spacing w:after="120"/>
      </w:pPr>
      <w:r>
        <w:rPr>
          <w:b w:val="0"/>
          <w:i w:val="0"/>
        </w:rPr>
        <w:t>Also tested</w:t>
      </w:r>
    </w:p>
    <w:p>
      <w:pPr>
        <w:pStyle w:val="ListBullet"/>
        <w:spacing w:after="40"/>
      </w:pPr>
      <w:r>
        <w:rPr>
          <w:b/>
          <w:i w:val="0"/>
          <w:sz w:val="20"/>
        </w:rPr>
        <w:t>Critically appraised individual articles.</w:t>
      </w:r>
      <w:r>
        <w:rPr>
          <w:b w:val="0"/>
          <w:i w:val="0"/>
          <w:sz w:val="20"/>
        </w:rPr>
        <w:t xml:space="preserve"> Also called article synopses, they sit above randomized trials because the appraisal has already been done, and below critically appraised topics and systematic reviews.</w:t>
      </w:r>
    </w:p>
    <w:p>
      <w:pPr>
        <w:pStyle w:val="ListBullet"/>
        <w:spacing w:after="40"/>
      </w:pPr>
      <w:r>
        <w:rPr>
          <w:b/>
          <w:i w:val="0"/>
          <w:sz w:val="20"/>
        </w:rPr>
        <w:t>Pyramid levels below case reports.</w:t>
      </w:r>
      <w:r>
        <w:rPr>
          <w:b w:val="0"/>
          <w:i w:val="0"/>
          <w:sz w:val="2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pStyle w:val="ListBullet"/>
        <w:spacing w:after="40"/>
      </w:pPr>
      <w:r>
        <w:rPr>
          <w:b/>
          <w:i w:val="0"/>
          <w:sz w:val="20"/>
        </w:rPr>
        <w:t>Clinical studies pyramid order.</w:t>
      </w:r>
      <w:r>
        <w:rPr>
          <w:b w:val="0"/>
          <w:i w:val="0"/>
          <w:sz w:val="20"/>
        </w:rPr>
        <w:t xml:space="preserve"> Cohort studies sit immediately below randomized controlled trials, with case-control studies and then case series and reports below; the order rises from case reports through case-control and cohort to randomized trials.</w:t>
      </w:r>
    </w:p>
    <w:p>
      <w:pPr>
        <w:pStyle w:val="ListBullet"/>
        <w:spacing w:after="40"/>
      </w:pPr>
      <w:r>
        <w:rPr>
          <w:b/>
          <w:i w:val="0"/>
          <w:sz w:val="20"/>
        </w:rPr>
        <w:t>Filtered information.</w:t>
      </w:r>
      <w:r>
        <w:rPr>
          <w:b w:val="0"/>
          <w:i w:val="0"/>
          <w:sz w:val="2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pStyle w:val="ListBullet"/>
        <w:spacing w:after="40"/>
      </w:pPr>
      <w:r>
        <w:rPr>
          <w:b/>
          <w:i w:val="0"/>
          <w:sz w:val="20"/>
        </w:rPr>
        <w:t>Base of the clinical studies pyramid.</w:t>
      </w:r>
      <w:r>
        <w:rPr>
          <w:b w:val="0"/>
          <w:i w:val="0"/>
          <w:sz w:val="20"/>
        </w:rPr>
        <w:t xml:space="preserve"> Expert opinion and background information sit at the very base; one version puts in vitro and animal research below ideas, editorials and opinions, but unappraised opinion is the weakest footing.</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spacing w:after="120"/>
      </w:pPr>
      <w:r>
        <w:rPr>
          <w:b w:val="0"/>
          <w:i w:val="0"/>
        </w:rPr>
        <w:t>Also tested</w:t>
      </w:r>
    </w:p>
    <w:p>
      <w:pPr>
        <w:pStyle w:val="ListBullet"/>
        <w:spacing w:after="40"/>
      </w:pPr>
      <w:r>
        <w:rPr>
          <w:b/>
          <w:i w:val="0"/>
          <w:sz w:val="20"/>
        </w:rPr>
        <w:t>USPSTF Grade I.</w:t>
      </w:r>
      <w:r>
        <w:rPr>
          <w:b w:val="0"/>
          <w:i w:val="0"/>
          <w:sz w:val="20"/>
        </w:rPr>
        <w:t xml:space="preserve"> Grade I means the balance of benefits and harms cannot be determined; evidence is lacking, poor or conflicting, so if the service is offered the patient should understand that uncertainty. It does not mean the balance is unfavorable.</w:t>
      </w:r>
    </w:p>
    <w:p>
      <w:pPr>
        <w:pStyle w:val="ListBullet"/>
        <w:spacing w:after="40"/>
      </w:pPr>
      <w:r>
        <w:rPr>
          <w:b/>
          <w:i w:val="0"/>
          <w:sz w:val="20"/>
        </w:rPr>
        <w:t>USPSTF Grades A and B.</w:t>
      </w:r>
      <w:r>
        <w:rPr>
          <w:b w:val="0"/>
          <w:i w:val="0"/>
          <w:sz w:val="20"/>
        </w:rPr>
        <w:t xml:space="preserve"> Both carry the same instruction to offer or provide the service, because both rest on a net benefit judged at least moderate. Grade C offers selectively, Grade D discourages, and Grade I calls for the clinical considerations to be read.</w:t>
      </w: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qualitative or quantitative synthesis; “pools” data from multiple studies to produce a single large study. Greater </w:t>
      </w:r>
      <w:r>
        <w:rPr>
          <w:b w:val="0"/>
          <w:i/>
          <w:sz w:val="20"/>
        </w:rPr>
        <w:t>n</w:t>
      </w:r>
      <w:r>
        <w:rPr>
          <w:b w:val="0"/>
          <w:i w:val="0"/>
          <w:sz w:val="20"/>
        </w:rPr>
        <w:t xml:space="preserve"> usually means greater power.</w:t>
      </w:r>
    </w:p>
    <w:p>
      <w:pPr>
        <w:spacing w:after="120"/>
      </w:pPr>
      <w:r>
        <w:rPr>
          <w:b w:val="0"/>
          <w:i w:val="0"/>
        </w:rPr>
        <w:t>Also tested</w:t>
      </w:r>
    </w:p>
    <w:p>
      <w:pPr>
        <w:pStyle w:val="ListBullet"/>
        <w:spacing w:after="40"/>
      </w:pPr>
      <w:r>
        <w:rPr>
          <w:b/>
          <w:i w:val="0"/>
          <w:sz w:val="20"/>
        </w:rPr>
        <w:t>Scale of the published literature.</w:t>
      </w:r>
      <w:r>
        <w:rPr>
          <w:b w:val="0"/>
          <w:i w:val="0"/>
          <w:sz w:val="20"/>
        </w:rPr>
        <w:t xml:space="preserve"> Volume alone does not settle clinical questions: with more than two million studies, thirty thousand journals and over nineteen million citations, the answers are still incomplete.</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pools their data to function as one larger study.</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Pooling data produces what amounts to a single large study; a greater number of participants usually means greater power, but pooling weak studies gives a larger weak study.</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val="0"/>
          <w:i w:val="0"/>
        </w:rPr>
        <w:t>Also tested</w:t>
      </w:r>
    </w:p>
    <w:p>
      <w:pPr>
        <w:pStyle w:val="ListBullet"/>
        <w:spacing w:after="40"/>
      </w:pPr>
      <w:r>
        <w:rPr>
          <w:b/>
          <w:i w:val="0"/>
          <w:sz w:val="20"/>
        </w:rPr>
        <w:t>Named sources of medical information.</w:t>
      </w:r>
      <w:r>
        <w:rPr>
          <w:b w:val="0"/>
          <w:i w:val="0"/>
          <w:sz w:val="20"/>
        </w:rPr>
        <w:t xml:space="preserve"> Pharmaceutical representatives appear among the named sources. Their presence is not an endorsement: the list is deliberately broad, and quality has to be judged separately by peer review and appraisal.</w:t>
      </w:r>
    </w:p>
    <w:p>
      <w:pPr>
        <w:pStyle w:val="ListBullet"/>
        <w:spacing w:after="40"/>
      </w:pPr>
      <w:r>
        <w:rPr>
          <w:b/>
          <w:i w:val="0"/>
          <w:sz w:val="20"/>
        </w:rPr>
        <w:t>Quality sources of medical information.</w:t>
      </w:r>
      <w:r>
        <w:rPr>
          <w:b w:val="0"/>
          <w:i w:val="0"/>
          <w:sz w:val="20"/>
        </w:rPr>
        <w:t xml:space="preserve"> Peer review marks a quality source, with government databases a further category. Be cautious of websites, which carry no equivalent guarantee of scrutiny before publication.</w:t>
      </w:r>
    </w:p>
    <w:p>
      <w:pPr>
        <w:pStyle w:val="ListBullet"/>
        <w:spacing w:after="40"/>
      </w:pPr>
      <w:r>
        <w:rPr>
          <w:b/>
          <w:i w:val="0"/>
          <w:sz w:val="20"/>
        </w:rPr>
        <w:t>Breadth of information sources.</w:t>
      </w:r>
      <w:r>
        <w:rPr>
          <w:b w:val="0"/>
          <w:i w:val="0"/>
          <w:sz w:val="2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val="0"/>
          <w:i w:val="0"/>
        </w:rPr>
        <w:t>Also tested</w:t>
      </w:r>
    </w:p>
    <w:p>
      <w:pPr>
        <w:pStyle w:val="ListBullet"/>
        <w:spacing w:after="40"/>
      </w:pPr>
      <w:r>
        <w:rPr>
          <w:b/>
          <w:i w:val="0"/>
          <w:sz w:val="20"/>
        </w:rPr>
        <w:t>ABCD method, A.</w:t>
      </w:r>
      <w:r>
        <w:rPr>
          <w:b w:val="0"/>
          <w:i w:val="0"/>
          <w:sz w:val="20"/>
        </w:rPr>
        <w:t xml:space="preserve"> In the ABCD method for appraising a website, A stands for author, including credentials and expertise. The other three are bias, content (level of detail) and date (whether the material is still current).</w:t>
      </w:r>
    </w:p>
    <w:p>
      <w:pPr>
        <w:pStyle w:val="ListBullet"/>
        <w:spacing w:after="40"/>
      </w:pPr>
      <w:r>
        <w:rPr>
          <w:b/>
          <w:i w:val="0"/>
          <w:sz w:val="20"/>
        </w:rPr>
        <w:t>ABCD method, B.</w:t>
      </w:r>
      <w:r>
        <w:rPr>
          <w:b w:val="0"/>
          <w:i w:val="0"/>
          <w:sz w:val="20"/>
        </w:rPr>
        <w:t xml:space="preserve"> B asks about bias. It sits between the author's credentials and the level of detail in the content, so the method moves from who wrote it to why, then to what and when.</w:t>
      </w:r>
    </w:p>
    <w:p>
      <w:pPr>
        <w:pStyle w:val="ListBullet"/>
        <w:spacing w:after="40"/>
      </w:pPr>
      <w:r>
        <w:rPr>
          <w:b/>
          <w:i w:val="0"/>
          <w:sz w:val="20"/>
        </w:rPr>
        <w:t>Retracted vaccine study.</w:t>
      </w:r>
      <w:r>
        <w:rPr>
          <w:b w:val="0"/>
          <w:i w:val="0"/>
          <w:sz w:val="20"/>
        </w:rPr>
        <w:t xml:space="preserve"> Publication in a respected journal does not guarantee integrity: the study appeared in a major journal and was eventually retracted, so appraisal of the author, the interests behind the work and the methods still matters.</w:t>
      </w:r>
    </w:p>
    <w:p>
      <w:pPr>
        <w:pStyle w:val="ListBullet"/>
        <w:spacing w:after="40"/>
      </w:pPr>
      <w:r>
        <w:rPr>
          <w:b/>
          <w:i w:val="0"/>
          <w:sz w:val="20"/>
        </w:rPr>
        <w:t>Ethical breaches in a retracted study.</w:t>
      </w:r>
      <w:r>
        <w:rPr>
          <w:b w:val="0"/>
          <w:i w:val="0"/>
          <w:sz w:val="2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Medline search tutorials.</w:t>
      </w:r>
      <w:r>
        <w:rPr>
          <w:b w:val="0"/>
          <w:i w:val="0"/>
          <w:sz w:val="20"/>
        </w:rPr>
        <w:t xml:space="preserve"> Found at the National Library of Medicine and the university library; searching and finding the best evidence is named as one of the challenges of evidence-based practice.</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val="0"/>
          <w:i w:val="0"/>
        </w:rPr>
        <w:t>Also tested</w:t>
      </w:r>
    </w:p>
    <w:p>
      <w:pPr>
        <w:pStyle w:val="ListBullet"/>
        <w:spacing w:after="40"/>
      </w:pPr>
      <w:r>
        <w:rPr>
          <w:b/>
          <w:i w:val="0"/>
          <w:sz w:val="20"/>
        </w:rPr>
        <w:t>Validity step of evidence-based practice.</w:t>
      </w:r>
      <w:r>
        <w:rPr>
          <w:b w:val="0"/>
          <w:i w:val="0"/>
          <w:sz w:val="2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val="0"/>
          <w:i w:val="0"/>
        </w:rPr>
        <w:t>Also tested</w:t>
      </w:r>
    </w:p>
    <w:p>
      <w:pPr>
        <w:pStyle w:val="ListBullet"/>
        <w:spacing w:after="40"/>
      </w:pPr>
      <w:r>
        <w:rPr>
          <w:b/>
          <w:i w:val="0"/>
          <w:sz w:val="20"/>
        </w:rPr>
        <w:t>Qualitative research.</w:t>
      </w:r>
      <w:r>
        <w:rPr>
          <w:b w:val="0"/>
          <w:i w:val="0"/>
          <w:sz w:val="2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the evaluation of evidence, which makes the resulting clinical decision more informed.</w:t>
      </w:r>
    </w:p>
    <w:p>
      <w:pPr>
        <w:pStyle w:val="ListBullet"/>
        <w:spacing w:after="40"/>
      </w:pPr>
      <w:r>
        <w:rPr>
          <w:b/>
          <w:i w:val="0"/>
          <w:sz w:val="20"/>
        </w:rPr>
        <w:t>Study design chain.</w:t>
      </w:r>
      <w:r>
        <w:rPr>
          <w:b w:val="0"/>
          <w:i w:val="0"/>
          <w:sz w:val="2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spacing w:after="120"/>
      </w:pPr>
      <w:r>
        <w:rPr>
          <w:b w:val="0"/>
          <w:i w:val="0"/>
        </w:rPr>
        <w:t>Also tested</w:t>
      </w:r>
    </w:p>
    <w:p>
      <w:pPr>
        <w:pStyle w:val="ListBullet"/>
        <w:spacing w:after="40"/>
      </w:pPr>
      <w:r>
        <w:rPr>
          <w:b/>
          <w:i w:val="0"/>
          <w:sz w:val="20"/>
        </w:rPr>
        <w:t>Observational designs.</w:t>
      </w:r>
      <w:r>
        <w:rPr>
          <w:b w:val="0"/>
          <w:i w:val="0"/>
          <w:sz w:val="20"/>
        </w:rPr>
        <w:t xml:space="preserve"> Cohort and case-control studies are observational because the investigator watches an exposure that occurred independently rather than allocating it; the randomized trial is the experimental example.</w:t>
      </w:r>
    </w:p>
    <w:p>
      <w:pPr>
        <w:pStyle w:val="ListBullet"/>
        <w:spacing w:after="40"/>
      </w:pPr>
      <w:r>
        <w:rPr>
          <w:b/>
          <w:i w:val="0"/>
          <w:sz w:val="20"/>
        </w:rPr>
        <w:t>Analytic designs.</w:t>
      </w:r>
      <w:r>
        <w:rPr>
          <w:b w:val="0"/>
          <w:i w:val="0"/>
          <w:sz w:val="20"/>
        </w:rPr>
        <w:t xml:space="preserve"> Randomized trials, cohort and case-control studies are examples of analytic work; what unites them is comparison, each setting one group against another, which supports an inference about a population.</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spacing w:after="120"/>
      </w:pPr>
      <w:r>
        <w:rPr>
          <w:b w:val="0"/>
          <w:i w:val="0"/>
        </w:rPr>
        <w:t>Also tested</w:t>
      </w:r>
    </w:p>
    <w:p>
      <w:pPr>
        <w:pStyle w:val="ListBullet"/>
        <w:spacing w:after="40"/>
      </w:pPr>
      <w:r>
        <w:rPr>
          <w:b/>
          <w:i w:val="0"/>
          <w:sz w:val="20"/>
        </w:rPr>
        <w:t>Temporal sequence.</w:t>
      </w:r>
      <w:r>
        <w:rPr>
          <w:b w:val="0"/>
          <w:i w:val="0"/>
          <w:sz w:val="20"/>
        </w:rPr>
        <w:t xml:space="preserve"> A cohort study, starting from exposure, establishes it most directly because the exposure is recorded before the outcome occurs. A cross-sectional design measuring both at once cannot do this.</w:t>
      </w:r>
    </w:p>
    <w:p>
      <w:pPr>
        <w:pStyle w:val="ListBullet"/>
        <w:spacing w:after="40"/>
      </w:pPr>
      <w:r>
        <w:rPr>
          <w:b/>
          <w:i w:val="0"/>
          <w:sz w:val="20"/>
        </w:rPr>
        <w:t>Good study design.</w:t>
      </w:r>
      <w:r>
        <w:rPr>
          <w:b w:val="0"/>
          <w:i w:val="0"/>
          <w:sz w:val="20"/>
        </w:rPr>
        <w:t xml:space="preserve"> Beyond comparing groups, it allows quantifying the risk difference and determining temporal sequence, which bears on causation.</w:t>
      </w:r>
    </w:p>
    <w:p>
      <w:pPr>
        <w:pStyle w:val="ListBullet"/>
        <w:spacing w:after="40"/>
      </w:pPr>
      <w:r>
        <w:rPr>
          <w:b/>
          <w:i w:val="0"/>
          <w:sz w:val="20"/>
        </w:rPr>
        <w:t>Cross-sectional design.</w:t>
      </w:r>
      <w:r>
        <w:rPr>
          <w:b w:val="0"/>
          <w:i w:val="0"/>
          <w:sz w:val="20"/>
        </w:rPr>
        <w:t xml:space="preserve"> A cross-sectional design is for generating hypotheses; it is observational, and because risk factor and disease are measured at the same moment, it cannot establish which came first.</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spacing w:after="120"/>
      </w:pPr>
      <w:r>
        <w:rPr>
          <w:b/>
          <w:i w:val="0"/>
        </w:rPr>
        <w:t>Ecologic fallacy</w:t>
      </w:r>
      <w:r>
        <w:rPr>
          <w:b w:val="0"/>
          <w:i w:val="0"/>
        </w:rPr>
        <w:t xml:space="preserve"> — applying aggregate data to an individual. The standing hazard of population-level data.</w:t>
      </w:r>
    </w:p>
    <w:p>
      <w:pPr>
        <w:spacing w:after="120"/>
      </w:pPr>
      <w:r>
        <w:rPr>
          <w:b w:val="0"/>
          <w:i w:val="0"/>
        </w:rPr>
        <w:t>Also tested</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val="0"/>
          <w:i w:val="0"/>
        </w:rPr>
        <w:t>Also tested</w:t>
      </w:r>
    </w:p>
    <w:p>
      <w:pPr>
        <w:pStyle w:val="ListBullet"/>
        <w:spacing w:after="40"/>
      </w:pPr>
      <w:r>
        <w:rPr>
          <w:b/>
          <w:i w:val="0"/>
          <w:sz w:val="20"/>
        </w:rPr>
        <w:t>Case-control study.</w:t>
      </w:r>
      <w:r>
        <w:rPr>
          <w:b w:val="0"/>
          <w:i w:val="0"/>
          <w:sz w:val="2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spacing w:after="120"/>
      </w:pPr>
      <w:r>
        <w:rPr>
          <w:b w:val="0"/>
          <w:i w:val="0"/>
        </w:rPr>
        <w:t>Also tested</w:t>
      </w:r>
    </w:p>
    <w:p>
      <w:pPr>
        <w:pStyle w:val="ListBullet"/>
        <w:spacing w:after="40"/>
      </w:pPr>
      <w:r>
        <w:rPr>
          <w:b/>
          <w:i w:val="0"/>
          <w:sz w:val="20"/>
        </w:rPr>
        <w:t>Blinding in randomized controlled trials.</w:t>
      </w:r>
      <w:r>
        <w:rPr>
          <w:b w:val="0"/>
          <w:i w:val="0"/>
          <w:sz w:val="20"/>
        </w:rPr>
        <w:t xml:space="preserve"> Single or double blinding is possible. It protects against performance bias, because participants who know they are on placebo may seek other treatment.</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pools the data into a single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spacing w:after="120"/>
      </w:pPr>
      <w:r>
        <w:rPr>
          <w:b w:val="0"/>
          <w:i w:val="0"/>
        </w:rPr>
        <w:t>Also tested</w:t>
      </w:r>
    </w:p>
    <w:p>
      <w:pPr>
        <w:pStyle w:val="ListBullet"/>
        <w:spacing w:after="40"/>
      </w:pPr>
      <w:r>
        <w:rPr>
          <w:b/>
          <w:i w:val="0"/>
          <w:sz w:val="20"/>
        </w:rPr>
        <w:t>Age-adjusted death rate.</w:t>
      </w:r>
      <w:r>
        <w:rPr>
          <w:b w:val="0"/>
          <w:i w:val="0"/>
          <w:sz w:val="20"/>
        </w:rPr>
        <w:t xml:space="preserve"> It is the right measure for comparing a county with its state because it removes differences in age structure; on the crude rate alone, a county with an older population would appear less healthy.</w:t>
      </w:r>
    </w:p>
    <w:p>
      <w:pPr>
        <w:pStyle w:val="ListBullet"/>
        <w:spacing w:after="40"/>
      </w:pPr>
      <w:r>
        <w:rPr>
          <w:b/>
          <w:i w:val="0"/>
          <w:sz w:val="20"/>
        </w:rPr>
        <w:t>Proportionate mortality.</w:t>
      </w:r>
      <w:r>
        <w:rPr>
          <w:b w:val="0"/>
          <w:i w:val="0"/>
          <w:sz w:val="20"/>
        </w:rPr>
        <w:t xml:space="preserve"> The causes must sum to one hundred percent, because each cause is expressed as a share of all deaths in the population over the period.</w:t>
      </w:r>
    </w:p>
    <w:p>
      <w:pPr>
        <w:pStyle w:val="ListBullet"/>
        <w:spacing w:after="40"/>
      </w:pPr>
      <w:r>
        <w:rPr>
          <w:b/>
          <w:i w:val="0"/>
          <w:sz w:val="20"/>
        </w:rPr>
        <w:t>Maternal and child health rates.</w:t>
      </w:r>
      <w:r>
        <w:rPr>
          <w:b w:val="0"/>
          <w:i w:val="0"/>
          <w:sz w:val="2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pStyle w:val="ListBullet"/>
        <w:spacing w:after="40"/>
      </w:pPr>
      <w:r>
        <w:rPr>
          <w:b/>
          <w:i w:val="0"/>
          <w:sz w:val="20"/>
        </w:rPr>
        <w:t>Morbidity rates.</w:t>
      </w:r>
      <w:r>
        <w:rPr>
          <w:b w:val="0"/>
          <w:i w:val="0"/>
          <w:sz w:val="20"/>
        </w:rPr>
        <w:t xml:space="preserve"> Incidence and prevalence rates are the morbidity rates, concerning illness in the living; the mortality group covers crude, age-specific, cause-specific, adjusted and case fatality rates.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spacing w:after="120"/>
      </w:pPr>
      <w:r>
        <w:rPr>
          <w:b w:val="0"/>
          <w:i w:val="0"/>
        </w:rPr>
        <w:t>Also tested</w:t>
      </w:r>
    </w:p>
    <w:p>
      <w:pPr>
        <w:pStyle w:val="ListBullet"/>
        <w:spacing w:after="40"/>
      </w:pPr>
      <w:r>
        <w:rPr>
          <w:b/>
          <w:i w:val="0"/>
          <w:sz w:val="20"/>
        </w:rPr>
        <w:t>Cumulative incidence versus incidence density.</w:t>
      </w:r>
      <w:r>
        <w:rPr>
          <w:b w:val="0"/>
          <w:i w:val="0"/>
          <w:sz w:val="20"/>
        </w:rPr>
        <w:t xml:space="preserve"> Cumulative incidence uses a group of fixed size, whereas incidence density measures new cases in a changing population, so its denominator is person-time rather than people.</w:t>
      </w:r>
    </w:p>
    <w:p>
      <w:pPr>
        <w:pStyle w:val="ListBullet"/>
        <w:spacing w:after="40"/>
      </w:pPr>
      <w:r>
        <w:rPr>
          <w:b/>
          <w:i w:val="0"/>
          <w:sz w:val="20"/>
        </w:rPr>
        <w:t>Prevalence studies.</w:t>
      </w:r>
      <w:r>
        <w:rPr>
          <w:b w:val="0"/>
          <w:i w:val="0"/>
          <w:sz w:val="20"/>
        </w:rPr>
        <w:t xml:space="preserve"> They are good for generating hypotheses and planning services but poor for showing cause and effect. They are also relatively inexpensive.</w:t>
      </w:r>
    </w:p>
    <w:p>
      <w:pPr>
        <w:pStyle w:val="ListBullet"/>
        <w:spacing w:after="40"/>
      </w:pPr>
      <w:r>
        <w:rPr>
          <w:b/>
          <w:i w:val="0"/>
          <w:sz w:val="20"/>
        </w:rPr>
        <w:t>Incidence example.</w:t>
      </w:r>
      <w:r>
        <w:rPr>
          <w:b w:val="0"/>
          <w:i w:val="0"/>
          <w:sz w:val="20"/>
        </w:rPr>
        <w:t xml:space="preserve"> In a town of 1,000 with 80 cases in 2015, 20 previously healthy people developing disease between 2016 and 2018 give an incidence of two percent; the 100 cases present in 2018 give a prevalence of ten percent.</w:t>
      </w:r>
    </w:p>
    <w:p>
      <w:pPr>
        <w:pStyle w:val="ListBullet"/>
        <w:spacing w:after="40"/>
      </w:pPr>
      <w:r>
        <w:rPr>
          <w:b/>
          <w:i w:val="0"/>
          <w:sz w:val="20"/>
        </w:rPr>
        <w:t>Incidence.</w:t>
      </w:r>
      <w:r>
        <w:rPr>
          <w:b w:val="0"/>
          <w:i w:val="0"/>
          <w:sz w:val="20"/>
        </w:rPr>
        <w:t xml:space="preserve"> New cases arising in previously healthy people over a specified time period; prevalence, by contrast, counts everyone who has the condition.</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val="0"/>
          <w:i w:val="0"/>
        </w:rPr>
        <w:t>Also tested</w:t>
      </w:r>
    </w:p>
    <w:p>
      <w:pPr>
        <w:pStyle w:val="ListBullet"/>
        <w:spacing w:after="40"/>
      </w:pPr>
      <w:r>
        <w:rPr>
          <w:b/>
          <w:i w:val="0"/>
          <w:sz w:val="20"/>
        </w:rPr>
        <w:t>Probability sample.</w:t>
      </w:r>
      <w:r>
        <w:rPr>
          <w:b w:val="0"/>
          <w:i w:val="0"/>
          <w:sz w:val="20"/>
        </w:rPr>
        <w:t xml:space="preserve"> Useful when subgroups such as age or ethnicity must be investigated, because a random sample of the whole population may not deliver enough of a small subgroup.</w:t>
      </w:r>
    </w:p>
    <w:p>
      <w:pPr>
        <w:pStyle w:val="ListBullet"/>
        <w:spacing w:after="40"/>
      </w:pPr>
      <w:r>
        <w:rPr>
          <w:b/>
          <w:i w:val="0"/>
          <w:sz w:val="20"/>
        </w:rPr>
        <w:t>Random sample.</w:t>
      </w:r>
      <w:r>
        <w:rPr>
          <w:b w:val="0"/>
          <w:i w:val="0"/>
          <w:sz w:val="20"/>
        </w:rPr>
        <w:t xml:space="preserve"> Every individual has an equal chance of selection; in a probability sample the chance of selection is known but need not be equal.</w:t>
      </w:r>
    </w:p>
    <w:p>
      <w:pPr>
        <w:pStyle w:val="ListBullet"/>
        <w:spacing w:after="40"/>
      </w:pPr>
      <w:r>
        <w:rPr>
          <w:b/>
          <w:i w:val="0"/>
          <w:sz w:val="20"/>
        </w:rPr>
        <w:t>Grab sample.</w:t>
      </w:r>
      <w:r>
        <w:rPr>
          <w:b w:val="0"/>
          <w:i w:val="0"/>
          <w:sz w:val="2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val="0"/>
          <w:i w:val="0"/>
        </w:rPr>
        <w:t>Also tested</w:t>
      </w:r>
    </w:p>
    <w:p>
      <w:pPr>
        <w:pStyle w:val="ListBullet"/>
        <w:spacing w:after="40"/>
      </w:pPr>
      <w:r>
        <w:rPr>
          <w:b/>
          <w:i w:val="0"/>
          <w:sz w:val="20"/>
        </w:rPr>
        <w:t>Distribution by person.</w:t>
      </w:r>
      <w:r>
        <w:rPr>
          <w:b w:val="0"/>
          <w:i w:val="0"/>
          <w:sz w:val="20"/>
        </w:rPr>
        <w:t xml:space="preserve"> It involves profiling those affected, including behavior as well as demographics: where they eat, where they shop, what products they use, their drinking water, and whether they attended the same event.</w:t>
      </w:r>
    </w:p>
    <w:p>
      <w:pPr>
        <w:pStyle w:val="ListBullet"/>
        <w:spacing w:after="40"/>
      </w:pPr>
      <w:r>
        <w:rPr>
          <w:b/>
          <w:i w:val="0"/>
          <w:sz w:val="20"/>
        </w:rPr>
        <w:t>Awareness of an epidemic.</w:t>
      </w:r>
      <w:r>
        <w:rPr>
          <w:b w:val="0"/>
          <w:i w:val="0"/>
          <w:sz w:val="20"/>
        </w:rPr>
        <w:t xml:space="preserve"> It can make new cases easier to diagnose, as with early COVID-19, so measured frequency can rise partly because clinicians started looking.</w:t>
      </w:r>
    </w:p>
    <w:p>
      <w:pPr>
        <w:pStyle w:val="ListBullet"/>
        <w:spacing w:after="40"/>
      </w:pPr>
      <w:r>
        <w:rPr>
          <w:b/>
          <w:i w:val="0"/>
          <w:sz w:val="20"/>
        </w:rPr>
        <w:t>Levels of disease distribution.</w:t>
      </w:r>
      <w:r>
        <w:rPr>
          <w:b w:val="0"/>
          <w:i w:val="0"/>
          <w:sz w:val="20"/>
        </w:rPr>
        <w:t xml:space="preserve"> The distribution of disease is evaluated by person, place and time, and looking for patterns across those three is a large part of what epidemiologists do.</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val="0"/>
          <w:i w:val="0"/>
        </w:rPr>
        <w:t>Also tested</w:t>
      </w:r>
    </w:p>
    <w:p>
      <w:pPr>
        <w:pStyle w:val="ListBullet"/>
        <w:spacing w:after="40"/>
      </w:pPr>
      <w:r>
        <w:rPr>
          <w:b/>
          <w:i w:val="0"/>
          <w:sz w:val="20"/>
        </w:rPr>
        <w:t>Surveillance baseline.</w:t>
      </w:r>
      <w:r>
        <w:rPr>
          <w:b w:val="0"/>
          <w:i w:val="0"/>
          <w:sz w:val="2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spacing w:after="120"/>
      </w:pPr>
      <w:r>
        <w:rPr>
          <w:b w:val="0"/>
          <w:i w:val="0"/>
        </w:rPr>
        <w:t>Also tested</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val="0"/>
          <w:i w:val="0"/>
          <w:sz w:val="20"/>
        </w:rPr>
        <w:t>Laboratory reporting of positive results</w:t>
      </w:r>
    </w:p>
    <w:p>
      <w:pPr>
        <w:spacing w:after="120"/>
      </w:pPr>
      <w:r>
        <w:rPr>
          <w:b w:val="0"/>
          <w:i w:val="0"/>
        </w:rPr>
        <w:t>Also tested</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val="0"/>
          <w:i/>
        </w:rPr>
        <w:t>Classic epi curve:</w:t>
      </w:r>
      <w:r>
        <w:rPr>
          <w:b w:val="0"/>
          <w:i w:val="0"/>
        </w:rPr>
        <w:t xml:space="preserve"> Legionnaires' disease by date of onset, Philadelphia, 1 July – 18 August 1976,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spacing w:after="120"/>
      </w:pPr>
      <w:r>
        <w:rPr>
          <w:b w:val="0"/>
          <w:i w:val="0"/>
        </w:rPr>
        <w:t>Also tested</w:t>
      </w:r>
    </w:p>
    <w:p>
      <w:pPr>
        <w:pStyle w:val="ListBullet"/>
        <w:spacing w:after="40"/>
      </w:pPr>
      <w:r>
        <w:rPr>
          <w:b/>
          <w:i w:val="0"/>
          <w:sz w:val="20"/>
        </w:rPr>
        <w:t>Confirming an epidemic exists.</w:t>
      </w:r>
      <w:r>
        <w:rPr>
          <w:b w:val="0"/>
          <w:i w:val="0"/>
          <w:sz w:val="20"/>
        </w:rPr>
        <w:t xml:space="preserve"> An apparent rise may reflect detection rather than occurrence, so a baseline and a settled case definition come first: both awareness and definition change how many cases are found.</w:t>
      </w:r>
    </w:p>
    <w:p>
      <w:pPr>
        <w:pStyle w:val="ListBullet"/>
        <w:spacing w:after="40"/>
      </w:pPr>
      <w:r>
        <w:rPr>
          <w:b/>
          <w:i w:val="0"/>
          <w:sz w:val="20"/>
        </w:rPr>
        <w:t>1976 Philadelphia Legionnaires' disease outbreak.</w:t>
      </w:r>
      <w:r>
        <w:rPr>
          <w:b w:val="0"/>
          <w:i w:val="0"/>
          <w:sz w:val="20"/>
        </w:rPr>
        <w:t xml:space="preserve"> It illustrates an epidemic curve tied to a single gathering: cases were plotted by date of onset across July and August, following an American Legion convention.</w:t>
      </w:r>
    </w:p>
    <w:p>
      <w:pPr>
        <w:pStyle w:val="ListBullet"/>
        <w:spacing w:after="40"/>
      </w:pPr>
      <w:r>
        <w:rPr>
          <w:b/>
          <w:i w:val="0"/>
          <w:sz w:val="20"/>
        </w:rPr>
        <w:t>Starting an outbreak investigation.</w:t>
      </w:r>
      <w:r>
        <w:rPr>
          <w:b w:val="0"/>
          <w:i w:val="0"/>
          <w:sz w:val="20"/>
        </w:rPr>
        <w:t xml:space="preserve"> Determine whether the situation is epidemic or endemic, alongside the attack rate, the diagnosis and case definition, confirming that an epidemic truly exists, and characterizing it by time, place and person.</w:t>
      </w:r>
    </w:p>
    <w:p>
      <w:pPr>
        <w:pStyle w:val="ListBullet"/>
        <w:spacing w:after="40"/>
      </w:pPr>
      <w:r>
        <w:rPr>
          <w:b/>
          <w:i w:val="0"/>
          <w:sz w:val="20"/>
        </w:rPr>
        <w:t>Outbreak investigation sequence.</w:t>
      </w:r>
      <w:r>
        <w:rPr>
          <w:b w:val="0"/>
          <w:i w:val="0"/>
          <w:sz w:val="20"/>
        </w:rPr>
        <w:t xml:space="preserve"> Initiating control measures follows the testing of hypotheses; the sequence then runs on to solving the original source, controlling the outbreak and deciding that it is over.</w:t>
      </w: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val="0"/>
          <w:i w:val="0"/>
        </w:rPr>
        <w:t>Also tested</w:t>
      </w:r>
    </w:p>
    <w:p>
      <w:pPr>
        <w:pStyle w:val="ListBullet"/>
        <w:spacing w:after="40"/>
      </w:pPr>
      <w:r>
        <w:rPr>
          <w:b/>
          <w:i w:val="0"/>
          <w:sz w:val="20"/>
        </w:rPr>
        <w:t>Level of measurement.</w:t>
      </w:r>
      <w:r>
        <w:rPr>
          <w:b w:val="0"/>
          <w:i w:val="0"/>
          <w:sz w:val="20"/>
        </w:rPr>
        <w:t xml:space="preserve"> It determines what can legitimately be said about two values: nominal categories can only be counted, ordinal values can be ranked, and only interval data supports statements about how much two values differ.</w:t>
      </w:r>
    </w:p>
    <w:p>
      <w:pPr>
        <w:pStyle w:val="ListBullet"/>
        <w:spacing w:after="40"/>
      </w:pPr>
      <w:r>
        <w:rPr>
          <w:b/>
          <w:i w:val="0"/>
          <w:sz w:val="20"/>
        </w:rPr>
        <w:t>Continuous versus discrete data.</w:t>
      </w:r>
      <w:r>
        <w:rPr>
          <w:b w:val="0"/>
          <w:i w:val="0"/>
          <w:sz w:val="20"/>
        </w:rPr>
        <w:t xml:space="preserve"> Continuous data can take any value in a range, though limited by the precision of the measurement; discrete data takes only specific values such as a number of children.</w:t>
      </w:r>
    </w:p>
    <w:p>
      <w:pPr>
        <w:pStyle w:val="ListBullet"/>
        <w:spacing w:after="40"/>
      </w:pPr>
      <w:r>
        <w:rPr>
          <w:b/>
          <w:i w:val="0"/>
          <w:sz w:val="20"/>
        </w:rPr>
        <w:t>Ordinal values.</w:t>
      </w:r>
      <w:r>
        <w:rPr>
          <w:b w:val="0"/>
          <w:i w:val="0"/>
          <w:sz w:val="20"/>
        </w:rPr>
        <w:t xml:space="preserve"> Two ordinal values can be compared as more, less or equally desirable, but not by how much, because the intervals between adjacent categories are not defined or equal.</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val="0"/>
          <w:i w:val="0"/>
        </w:rPr>
        <w:t>Also tested</w:t>
      </w:r>
    </w:p>
    <w:p>
      <w:pPr>
        <w:pStyle w:val="ListBullet"/>
        <w:spacing w:after="40"/>
      </w:pPr>
      <w:r>
        <w:rPr>
          <w:b/>
          <w:i w:val="0"/>
          <w:sz w:val="20"/>
        </w:rPr>
        <w:t>Reliability without validity.</w:t>
      </w:r>
      <w:r>
        <w:rPr>
          <w:b w:val="0"/>
          <w:i w:val="0"/>
          <w:sz w:val="20"/>
        </w:rPr>
        <w:t xml:space="preserve"> A measurement can be reliable without being valid, because it can be consistently wrong. Low validity with high reliability is the combination to watch for, since repeated agreement looks like confirmation.</w:t>
      </w:r>
    </w:p>
    <w:p>
      <w:pPr>
        <w:pStyle w:val="ListBullet"/>
        <w:spacing w:after="40"/>
      </w:pPr>
      <w:r>
        <w:rPr>
          <w:b/>
          <w:i w:val="0"/>
          <w:sz w:val="20"/>
        </w:rPr>
        <w:t>Low validity, high reliability.</w:t>
      </w:r>
      <w:r>
        <w:rPr>
          <w:b w:val="0"/>
          <w:i w:val="0"/>
          <w:sz w:val="2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val="0"/>
          <w:i w:val="0"/>
        </w:rPr>
        <w:t>Also tested</w:t>
      </w:r>
    </w:p>
    <w:p>
      <w:pPr>
        <w:pStyle w:val="ListBullet"/>
        <w:spacing w:after="40"/>
      </w:pPr>
      <w:r>
        <w:rPr>
          <w:b/>
          <w:i w:val="0"/>
          <w:sz w:val="20"/>
        </w:rPr>
        <w:t>Construct validity.</w:t>
      </w:r>
      <w:r>
        <w:rPr>
          <w:b w:val="0"/>
          <w:i w:val="0"/>
          <w:sz w:val="20"/>
        </w:rPr>
        <w:t xml:space="preserve"> A measure has construct validity when it relates to others believed part of the same phenomenon, as in whether a clinician interviewing a patient for depression reaches the same determination as a screening test.</w:t>
      </w:r>
    </w:p>
    <w:p>
      <w:pPr>
        <w:pStyle w:val="ListBullet"/>
        <w:spacing w:after="40"/>
      </w:pPr>
      <w:r>
        <w:rPr>
          <w:b/>
          <w:i w:val="0"/>
          <w:sz w:val="20"/>
        </w:rPr>
        <w:t>Content validity.</w:t>
      </w:r>
      <w:r>
        <w:rPr>
          <w:b w:val="0"/>
          <w:i w:val="0"/>
          <w:sz w:val="20"/>
        </w:rPr>
        <w:t xml:space="preserve"> The measure covers all relevant dimensions and excludes irrelevant ones.</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spacing w:after="120"/>
      </w:pPr>
      <w:r>
        <w:rPr>
          <w:b w:val="0"/>
          <w:i w:val="0"/>
        </w:rPr>
        <w:t>Also tested</w:t>
      </w:r>
    </w:p>
    <w:p>
      <w:pPr>
        <w:pStyle w:val="ListBullet"/>
        <w:spacing w:after="40"/>
      </w:pPr>
      <w:r>
        <w:rPr>
          <w:b/>
          <w:i w:val="0"/>
          <w:sz w:val="20"/>
        </w:rPr>
        <w:t>Intraobserver variation.</w:t>
      </w:r>
      <w:r>
        <w:rPr>
          <w:b w:val="0"/>
          <w:i w:val="0"/>
          <w:sz w:val="20"/>
        </w:rPr>
        <w:t xml:space="preserve"> One observer interprets the same thing differently twice, such as a radiologist reviewing the same radiograph at two different times and reaching different interpretations.</w:t>
      </w:r>
    </w:p>
    <w:p>
      <w:pPr>
        <w:pStyle w:val="ListBullet"/>
        <w:spacing w:after="40"/>
      </w:pPr>
      <w:r>
        <w:rPr>
          <w:b/>
          <w:i w:val="0"/>
          <w:sz w:val="20"/>
        </w:rPr>
        <w:t>Systematic variation.</w:t>
      </w:r>
      <w:r>
        <w:rPr>
          <w:b w:val="0"/>
          <w:i w:val="0"/>
          <w:sz w:val="20"/>
        </w:rPr>
        <w:t xml:space="preserve"> Known conditions of measurement affect the values obtained, for example blood pressure varying by time of day, after a cigarette, by patient position, or through the white coat phenomenon.</w:t>
      </w: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val="0"/>
          <w:i w:val="0"/>
        </w:rPr>
        <w:t>Also tested</w:t>
      </w:r>
    </w:p>
    <w:p>
      <w:pPr>
        <w:pStyle w:val="ListBullet"/>
        <w:spacing w:after="40"/>
      </w:pPr>
      <w:r>
        <w:rPr>
          <w:b/>
          <w:i w:val="0"/>
          <w:sz w:val="20"/>
        </w:rPr>
        <w:t>Mean.</w:t>
      </w:r>
      <w:r>
        <w:rPr>
          <w:b w:val="0"/>
          <w:i w:val="0"/>
          <w:sz w:val="20"/>
        </w:rPr>
        <w:t xml:space="preserve"> The sum of all values divided by the number of observations; it is the best estimate of central tendency, though extreme outliers can pull it away from the bulk of the data.</w:t>
      </w:r>
    </w:p>
    <w:p>
      <w:pPr>
        <w:pStyle w:val="ListBullet"/>
        <w:spacing w:after="40"/>
      </w:pPr>
      <w:r>
        <w:rPr>
          <w:b/>
          <w:i w:val="0"/>
          <w:sz w:val="20"/>
        </w:rPr>
        <w:t>Normal distribution.</w:t>
      </w:r>
      <w:r>
        <w:rPr>
          <w:b w:val="0"/>
          <w:i w:val="0"/>
          <w:sz w:val="2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spacing w:after="120"/>
      </w:pPr>
      <w:r>
        <w:rPr>
          <w:b w:val="0"/>
          <w:i w:val="0"/>
        </w:rPr>
        <w:t>Also tested</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Be careful of labeling.</w:t>
      </w:r>
    </w:p>
    <w:p>
      <w:pPr>
        <w:spacing w:after="120"/>
      </w:pPr>
      <w:r>
        <w:rPr>
          <w:b w:val="0"/>
          <w:i w:val="0"/>
        </w:rPr>
        <w:t>Also tested</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spacing w:after="120"/>
      </w:pPr>
      <w:r>
        <w:rPr>
          <w:b w:val="0"/>
          <w:i w:val="0"/>
        </w:rPr>
        <w:t>Also tested</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i w:val="0"/>
          <w:sz w:val="20"/>
        </w:rPr>
        <w:t>Ordering a diagnostic test.</w:t>
      </w:r>
      <w:r>
        <w:rPr>
          <w:b w:val="0"/>
          <w:i w:val="0"/>
          <w:sz w:val="20"/>
        </w:rPr>
        <w:t xml:space="preserve"> Weigh risk against benefit, the test's limits, and its cost; avoid ordering tests indiscriminately and avoid repeating a test without an indication.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val="0"/>
          <w:i w:val="0"/>
        </w:rPr>
        <w:t>Also tested</w:t>
      </w:r>
    </w:p>
    <w:p>
      <w:pPr>
        <w:pStyle w:val="ListBullet"/>
        <w:spacing w:after="40"/>
      </w:pPr>
      <w:r>
        <w:rPr>
          <w:b/>
          <w:i w:val="0"/>
          <w:sz w:val="20"/>
        </w:rPr>
        <w:t>Validity of a test.</w:t>
      </w:r>
      <w:r>
        <w:rPr>
          <w:b w:val="0"/>
          <w:i w:val="0"/>
          <w:sz w:val="20"/>
        </w:rPr>
        <w:t xml:space="preserve"> Validity is a test's ability to determine correctly who has the disease, measured by sensitivity and specificity. Reliability, by contrast, is getting a similar result when the test is repeated under the same conditions.</w:t>
      </w:r>
    </w:p>
    <w:p>
      <w:pPr>
        <w:pStyle w:val="ListBullet"/>
        <w:spacing w:after="40"/>
      </w:pPr>
      <w:r>
        <w:rPr>
          <w:b/>
          <w:i w:val="0"/>
          <w:sz w:val="20"/>
        </w:rPr>
        <w:t>Prevalence in the 2×2 table.</w:t>
      </w:r>
      <w:r>
        <w:rPr>
          <w:b w:val="0"/>
          <w:i w:val="0"/>
          <w:sz w:val="20"/>
        </w:rPr>
        <w:t xml:space="preserve"> Prevalence is a plus c, over all four cells: everyone with the disease over everyone tested. It is also the pre-test probability in the population of interest.</w:t>
      </w:r>
    </w:p>
    <w:p>
      <w:pPr>
        <w:pStyle w:val="ListBullet"/>
        <w:spacing w:after="40"/>
      </w:pPr>
      <w:r>
        <w:rPr>
          <w:b/>
          <w:i w:val="0"/>
          <w:sz w:val="20"/>
        </w:rPr>
        <w:t>Prevalence in reasoning.</w:t>
      </w:r>
      <w:r>
        <w:rPr>
          <w:b w:val="0"/>
          <w:i w:val="0"/>
          <w:sz w:val="20"/>
        </w:rPr>
        <w:t xml:space="preserve"> Prevalence prioritizes the differential diagnosis (think horses, not zebras). It also affects the interpretation of test results, because it sets the pretest probability.</w:t>
      </w:r>
    </w:p>
    <w:p>
      <w:pPr>
        <w:pStyle w:val="ListBullet"/>
        <w:spacing w:after="40"/>
      </w:pPr>
      <w:r>
        <w:rPr>
          <w:b/>
          <w:i w:val="0"/>
          <w:sz w:val="20"/>
        </w:rPr>
        <w:t>False positive.</w:t>
      </w:r>
      <w:r>
        <w:rPr>
          <w:b w:val="0"/>
          <w:i w:val="0"/>
          <w:sz w:val="20"/>
        </w:rPr>
        <w:t xml:space="preserve"> In a 2x2 table, a false positive is when the new test is positive and the gold standard negative; a highly specific test produces few of them, so a positive on such a test rules disease in.</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val="0"/>
          <w:i w:val="0"/>
        </w:rPr>
        <w:t>Also tested</w:t>
      </w:r>
    </w:p>
    <w:p>
      <w:pPr>
        <w:pStyle w:val="ListBullet"/>
        <w:spacing w:after="40"/>
      </w:pPr>
      <w:r>
        <w:rPr>
          <w:b/>
          <w:i w:val="0"/>
          <w:sz w:val="20"/>
        </w:rPr>
        <w:t>Specificity in the ulcer-testing example.</w:t>
      </w:r>
      <w:r>
        <w:rPr>
          <w:b w:val="0"/>
          <w:i w:val="0"/>
          <w:sz w:val="2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spacing w:after="120"/>
      </w:pPr>
      <w:r>
        <w:rPr>
          <w:b w:val="0"/>
          <w:i w:val="0"/>
        </w:rPr>
        <w:t>Also tested</w:t>
      </w:r>
    </w:p>
    <w:p>
      <w:pPr>
        <w:pStyle w:val="ListBullet"/>
        <w:spacing w:after="40"/>
      </w:pPr>
      <w:r>
        <w:rPr>
          <w:b/>
          <w:i w:val="0"/>
          <w:sz w:val="20"/>
        </w:rPr>
        <w:t>Receiver operating characteristic curve.</w:t>
      </w:r>
      <w:r>
        <w:rPr>
          <w:b w:val="0"/>
          <w:i w:val="0"/>
          <w:sz w:val="20"/>
        </w:rPr>
        <w:t xml:space="preserve"> It is used for comparing alternative tests for the same diagnosis, since it displays the whole trade-off between true and false positives rather than a single pair of values.</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val="0"/>
          <w:i w:val="0"/>
        </w:rPr>
        <w:t>Also tested</w:t>
      </w:r>
    </w:p>
    <w:p>
      <w:pPr>
        <w:pStyle w:val="ListBullet"/>
        <w:spacing w:after="40"/>
      </w:pPr>
      <w:r>
        <w:rPr>
          <w:b/>
          <w:i w:val="0"/>
          <w:sz w:val="20"/>
        </w:rPr>
        <w:t>Predictive value and prevalence.</w:t>
      </w:r>
      <w:r>
        <w:rPr>
          <w:b w:val="0"/>
          <w:i w:val="0"/>
          <w:sz w:val="20"/>
        </w:rPr>
        <w:t xml:space="preserve"> With sensitivity of 99 percent and specificity of 95 percent, positive predictive value rises from 17 to 51 percent as prevalence rises from one to five percent, so predictive value depends heavily on prevalence.</w:t>
      </w:r>
    </w:p>
    <w:p>
      <w:pPr>
        <w:pStyle w:val="ListBullet"/>
        <w:spacing w:after="40"/>
      </w:pPr>
      <w:r>
        <w:rPr>
          <w:b/>
          <w:i w:val="0"/>
          <w:sz w:val="20"/>
        </w:rPr>
        <w:t>Why prevalence affects predictive values.</w:t>
      </w:r>
      <w:r>
        <w:rPr>
          <w:b w:val="0"/>
          <w:i w:val="0"/>
          <w:sz w:val="20"/>
        </w:rPr>
        <w:t xml:space="preserve"> Predictive values include both diseased and healthy people: each reads across a test-result row, which mixes the two disease columns in a proportion set by how common the disease is.</w:t>
      </w:r>
    </w:p>
    <w:p>
      <w:pPr>
        <w:pStyle w:val="ListBullet"/>
        <w:spacing w:after="40"/>
      </w:pPr>
      <w:r>
        <w:rPr>
          <w:b/>
          <w:i w:val="0"/>
          <w:sz w:val="20"/>
        </w:rPr>
        <w:t>False positives at low prevalence.</w:t>
      </w:r>
      <w:r>
        <w:rPr>
          <w:b w:val="0"/>
          <w:i w:val="0"/>
          <w:sz w:val="20"/>
        </w:rPr>
        <w:t xml:space="preserve"> There are usually more false positives, because the pool of healthy people is so much larger that even a small false positive rate produces many relative to the few true cases.</w:t>
      </w:r>
    </w:p>
    <w:p>
      <w:pPr>
        <w:pStyle w:val="ListBullet"/>
        <w:spacing w:after="40"/>
      </w:pPr>
      <w:r>
        <w:rPr>
          <w:b/>
          <w:i w:val="0"/>
          <w:sz w:val="20"/>
        </w:rPr>
        <w:t>Positive predictive value.</w:t>
      </w:r>
      <w:r>
        <w:rPr>
          <w:b w:val="0"/>
          <w:i w:val="0"/>
          <w:sz w:val="2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Posttest probability</w:t>
      </w:r>
      <w:r>
        <w:rPr>
          <w:b w:val="0"/>
          <w:i w:val="0"/>
          <w:sz w:val="20"/>
        </w:rPr>
        <w:t xml:space="preserve"> — the chance after the test. This is what informs treatment decisions.</w:t>
      </w:r>
    </w:p>
    <w:p>
      <w:pPr>
        <w:spacing w:after="120"/>
      </w:pPr>
      <w:r>
        <w:rPr>
          <w:b w:val="0"/>
          <w:i w:val="0"/>
        </w:rPr>
        <w:t>Also tested</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LR+ of 4 → 4× more likely than the pretest probability</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LR− of 0.5 → half as likely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spacing w:after="120"/>
      </w:pPr>
      <w:r>
        <w:rPr>
          <w:b/>
          <w:i w:val="0"/>
        </w:rPr>
        <w:t>Caution:</w:t>
      </w:r>
      <w:r>
        <w:rPr>
          <w:b w:val="0"/>
          <w:i w:val="0"/>
        </w:rPr>
        <w:t xml:space="preserve"> even a high-LR test can be misleading if the disease has a low prevalence.</w:t>
      </w:r>
    </w:p>
    <w:p>
      <w:pPr>
        <w:spacing w:after="120"/>
      </w:pPr>
      <w:r>
        <w:rPr>
          <w:b w:val="0"/>
          <w:i w:val="0"/>
        </w:rPr>
        <w:t>Also tested</w:t>
      </w:r>
    </w:p>
    <w:p>
      <w:pPr>
        <w:pStyle w:val="ListBullet"/>
        <w:spacing w:after="40"/>
      </w:pPr>
      <w:r>
        <w:rPr>
          <w:b/>
          <w:i w:val="0"/>
          <w:sz w:val="20"/>
        </w:rPr>
        <w:t>Meaning of sensitivity values.</w:t>
      </w:r>
      <w:r>
        <w:rPr>
          <w:b w:val="0"/>
          <w:i w:val="0"/>
          <w:sz w:val="20"/>
        </w:rPr>
        <w:t xml:space="preserve"> A sensitivity of 0.5 means an equal chance of identifying a diseased patient. A value of one identifies every patient with the disease, and a value of zero identifies none of them.</w:t>
      </w:r>
    </w:p>
    <w:p>
      <w:pPr>
        <w:pStyle w:val="ListBullet"/>
        <w:spacing w:after="40"/>
      </w:pPr>
      <w:r>
        <w:rPr>
          <w:b/>
          <w:i w:val="0"/>
          <w:sz w:val="20"/>
        </w:rPr>
        <w:t>Positive likelihood ratio of 4.</w:t>
      </w:r>
      <w:r>
        <w:rPr>
          <w:b w:val="0"/>
          <w:i w:val="0"/>
          <w:sz w:val="20"/>
        </w:rPr>
        <w:t xml:space="preserve"> A positive result makes the disease four times more likely, relative to the pre-test probability; the ratio is a multiplier rather than a probability in its own right.</w:t>
      </w:r>
    </w:p>
    <w:p>
      <w:pPr>
        <w:pStyle w:val="ListBullet"/>
        <w:spacing w:after="40"/>
      </w:pPr>
      <w:r>
        <w:rPr>
          <w:b/>
          <w:i w:val="0"/>
          <w:sz w:val="20"/>
        </w:rPr>
        <w:t>Likelihood ratio formulas.</w:t>
      </w:r>
      <w:r>
        <w:rPr>
          <w:b w:val="0"/>
          <w:i w:val="0"/>
          <w:sz w:val="2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pStyle w:val="ListBullet"/>
        <w:spacing w:after="40"/>
      </w:pPr>
      <w:r>
        <w:rPr>
          <w:b/>
          <w:i w:val="0"/>
          <w:sz w:val="20"/>
        </w:rPr>
        <w:t>Likelihood ratio of 0.1.</w:t>
      </w:r>
      <w:r>
        <w:rPr>
          <w:b w:val="0"/>
          <w:i w:val="0"/>
          <w:sz w:val="20"/>
        </w:rPr>
        <w:t xml:space="preserve"> As a rule of thumb, it lowers the probability of disease by about 45 percentage points, mirroring the 45 point rise given by a ratio of 10; below 0.1 counts as strong evidence to rule the disease out.</w:t>
      </w:r>
    </w:p>
    <w:p>
      <w:pPr>
        <w:pStyle w:val="ListBullet"/>
        <w:spacing w:after="40"/>
      </w:pPr>
      <w:r>
        <w:rPr>
          <w:b/>
          <w:i w:val="0"/>
          <w:sz w:val="20"/>
        </w:rPr>
        <w:t>Likelihood ratio of 10.</w:t>
      </w:r>
      <w:r>
        <w:rPr>
          <w:b w:val="0"/>
          <w:i w:val="0"/>
          <w:sz w:val="20"/>
        </w:rPr>
        <w:t xml:space="preserve"> As a rule of thumb, it raises the probability of disease by about 45 percentage points; the shift is added to the pre-test probability rather than replacing it, so the starting point still matters.</w:t>
      </w:r>
    </w:p>
    <w:p>
      <w:pPr>
        <w:pStyle w:val="ListBullet"/>
        <w:spacing w:after="40"/>
      </w:pPr>
      <w:r>
        <w:rPr>
          <w:b/>
          <w:i w:val="0"/>
          <w:sz w:val="20"/>
        </w:rPr>
        <w:t>Probability.</w:t>
      </w:r>
      <w:r>
        <w:rPr>
          <w:b w:val="0"/>
          <w:i w:val="0"/>
          <w:sz w:val="20"/>
        </w:rPr>
        <w:t xml:space="preserve"> A probability lies between zero and one, with zero meaning the event cannot occur and one meaning it certainly will; all the probabilities of events in a sample must sum to one.</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makes strep 16× more likely.</w:t>
      </w:r>
      <w:r>
        <w:br/>
      </w:r>
      <w:r>
        <w:rPr>
          <w:b w:val="0"/>
          <w:i w:val="0"/>
        </w:rPr>
        <w:t xml:space="preserve"> LR− = (1 − 0.65) / 0.96 = 0.35 / 0.96 = </w:t>
      </w:r>
      <w:r>
        <w:rPr>
          <w:b/>
          <w:i w:val="0"/>
        </w:rPr>
        <w:t>0.36</w:t>
      </w:r>
      <w:r>
        <w:rPr>
          <w:b w:val="0"/>
          <w:i w:val="0"/>
        </w:rPr>
        <w:t xml:space="preserve"> — a negative result makes it about ⅓ as likely.</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spacing w:after="120"/>
      </w:pPr>
      <w:r>
        <w:rPr>
          <w:b w:val="0"/>
          <w:i w:val="0"/>
        </w:rPr>
        <w:t>Also tested</w:t>
      </w:r>
    </w:p>
    <w:p>
      <w:pPr>
        <w:pStyle w:val="ListBullet"/>
        <w:spacing w:after="40"/>
      </w:pPr>
      <w:r>
        <w:rPr>
          <w:b/>
          <w:i w:val="0"/>
          <w:sz w:val="20"/>
        </w:rPr>
        <w:t>Disagreeing tests.</w:t>
      </w:r>
      <w:r>
        <w:rPr>
          <w:b w:val="0"/>
          <w:i w:val="0"/>
          <w:sz w:val="20"/>
        </w:rPr>
        <w:t xml:space="preserve"> When two tests disagree, consider whether they ran in parallel or serially, because the two strategies do different things to the combined sensitivity and specificity.</w:t>
      </w:r>
    </w:p>
    <w:p>
      <w:pPr>
        <w:pStyle w:val="ListBullet"/>
        <w:spacing w:after="40"/>
      </w:pPr>
      <w:r>
        <w:rPr>
          <w:b/>
          <w:i w:val="0"/>
          <w:sz w:val="20"/>
        </w:rPr>
        <w:t>Serial versus parallel testing.</w:t>
      </w:r>
      <w:r>
        <w:rPr>
          <w:b w:val="0"/>
          <w:i w:val="0"/>
          <w:sz w:val="20"/>
        </w:rPr>
        <w:t xml:space="preserve"> Serial testing uses fewer tests but takes more time, so the choice comes down to how urgent the diagnosis is against how costly or risky the tests are.</w:t>
      </w:r>
    </w:p>
    <w:p>
      <w:pPr>
        <w:pStyle w:val="ListBullet"/>
        <w:spacing w:after="40"/>
      </w:pPr>
      <w:r>
        <w:rPr>
          <w:b/>
          <w:i w:val="0"/>
          <w:sz w:val="20"/>
        </w:rPr>
        <w:t>Serial testing.</w:t>
      </w:r>
      <w:r>
        <w:rPr>
          <w:b w:val="0"/>
          <w:i w:val="0"/>
          <w:sz w:val="20"/>
        </w:rPr>
        <w:t xml:space="preserve"> Used when speed matters less, or tests are risky; it follows after simpler and safer tests have proved inconclusive, and costly tests are another reason.</w:t>
      </w:r>
    </w:p>
    <w:p>
      <w:pPr>
        <w:pStyle w:val="ListBullet"/>
        <w:spacing w:after="40"/>
      </w:pPr>
      <w:r>
        <w:rPr>
          <w:b/>
          <w:i w:val="0"/>
          <w:sz w:val="20"/>
        </w:rPr>
        <w:t>Parallel testing.</w:t>
      </w:r>
      <w:r>
        <w:rPr>
          <w:b w:val="0"/>
          <w:i w:val="0"/>
          <w:sz w:val="20"/>
        </w:rPr>
        <w:t xml:space="preserve"> How much it improves sensitivity depends on how well each test catches what the other misses: two tests that fail on the same patients add little, whereas complementary tests catch far more cases.</w:t>
      </w: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val="0"/>
          <w:i w:val="0"/>
        </w:rPr>
        <w:t>Also tested</w:t>
      </w:r>
    </w:p>
    <w:p>
      <w:pPr>
        <w:pStyle w:val="ListBullet"/>
        <w:spacing w:after="40"/>
      </w:pPr>
      <w:r>
        <w:rPr>
          <w:b/>
          <w:i w:val="0"/>
          <w:sz w:val="20"/>
        </w:rPr>
        <w:t>Blinding in test comparison.</w:t>
      </w:r>
      <w:r>
        <w:rPr>
          <w:b w:val="0"/>
          <w:i w:val="0"/>
          <w:sz w:val="20"/>
        </w:rPr>
        <w:t xml:space="preserve"> Those conducting each test should be blinded to the other's result because one result could influence the reading of the other, a form of measurement bias.</w:t>
      </w:r>
    </w:p>
    <w:p>
      <w:pPr>
        <w:pStyle w:val="ListBullet"/>
        <w:spacing w:after="40"/>
      </w:pPr>
      <w:r>
        <w:rPr>
          <w:b/>
          <w:i w:val="0"/>
          <w:sz w:val="20"/>
        </w:rPr>
        <w:t>Prevalence in test studies.</w:t>
      </w:r>
      <w:r>
        <w:rPr>
          <w:b w:val="0"/>
          <w:i w:val="0"/>
          <w:sz w:val="20"/>
        </w:rPr>
        <w:t xml:space="preserve"> Predictive values will differ if prevalence differs, so a published value may not transfer to your setting; check whether a study's prevalence matches your own population.</w:t>
      </w:r>
    </w:p>
    <w:p>
      <w:pPr>
        <w:pStyle w:val="ListBullet"/>
        <w:spacing w:after="40"/>
      </w:pPr>
      <w:r>
        <w:rPr>
          <w:b/>
          <w:i w:val="0"/>
          <w:sz w:val="20"/>
        </w:rPr>
        <w:t>Limit on diagnosis.</w:t>
      </w:r>
      <w:r>
        <w:rPr>
          <w:b w:val="0"/>
          <w:i w:val="0"/>
          <w:sz w:val="20"/>
        </w:rPr>
        <w:t xml:space="preserve"> The diagnosis of disease is limited by how good the tests used to measure it are. Sensitivity and specificity guide test selection, while predictive values describe what a given result means.</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Rare disease:</w:t>
      </w:r>
      <w:r>
        <w:rPr>
          <w:b w:val="0"/>
          <w:i w:val="0"/>
        </w:rPr>
        <w:t xml:space="preserve"> following a rare disease in a cohort requires a very large cohort, so a case-control study is better for rare disease.</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w:t>
            </w:r>
            <w:r>
              <w:rPr>
                <w:b/>
                <w:i w:val="0"/>
                <w:sz w:val="18"/>
              </w:rPr>
              <w:t>cannot be used for rare diseases</w:t>
            </w:r>
            <w:r>
              <w:rPr>
                <w:b w:val="0"/>
                <w:i w:val="0"/>
                <w:sz w:val="18"/>
              </w:rPr>
              <w:t xml:space="preserv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sample of the unexposed group</w:t>
            </w:r>
            <w:r>
              <w:rPr>
                <w:b w:val="0"/>
                <w:i w:val="0"/>
                <w:sz w:val="18"/>
              </w:rPr>
              <w:t xml:space="preserve"> is analyzed</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produces more wrong positives than the few true cases produce right ones.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likely it is for the result to have happened by chance,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tests: </w:t>
            </w:r>
            <w:r>
              <w:rPr>
                <w:b/>
                <w:i w:val="0"/>
                <w:sz w:val="18"/>
              </w:rPr>
              <w:t>Cochran's Q</w:t>
            </w:r>
            <w:r>
              <w:rPr>
                <w:b w:val="0"/>
                <w:i w:val="0"/>
                <w:sz w:val="18"/>
              </w:rPr>
              <w:t xml:space="preserve"> and the </w:t>
            </w:r>
            <w:r>
              <w:rPr>
                <w:b/>
                <w:i w:val="0"/>
                <w:sz w:val="18"/>
              </w:rPr>
              <w:t>I-squared statistic</w:t>
            </w:r>
            <w:r>
              <w:rPr>
                <w:b w:val="0"/>
                <w:i w:val="0"/>
                <w:sz w:val="18"/>
              </w:rPr>
              <w:t xml:space="preserve">.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A statistical test for it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tests named are </w:t>
      </w:r>
      <w:r>
        <w:rPr>
          <w:b/>
          <w:i w:val="0"/>
        </w:rPr>
        <w:t>Cochran's Q</w:t>
      </w:r>
      <w:r>
        <w:rPr>
          <w:b w:val="0"/>
          <w:i w:val="0"/>
        </w:rPr>
        <w:t xml:space="preserve"> and the </w:t>
      </w:r>
      <w:r>
        <w:rPr>
          <w:b/>
          <w:i w:val="0"/>
        </w:rPr>
        <w:t>I-squared statistic</w:t>
      </w:r>
      <w:r>
        <w:rPr>
          <w:b w:val="0"/>
          <w:i w:val="0"/>
        </w:rPr>
        <w:t>.</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There is </w:t>
            </w:r>
            <w:r>
              <w:rPr>
                <w:b/>
                <w:i w:val="0"/>
                <w:sz w:val="18"/>
              </w:rPr>
              <w:t>no significant heterogeneity</w:t>
            </w:r>
            <w:r>
              <w:rPr>
                <w:b w:val="0"/>
                <w:i w:val="0"/>
                <w:sz w:val="18"/>
              </w:rPr>
              <w:t>.</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val="0"/>
          <w:i w:val="0"/>
        </w:rPr>
        <w:t>Both models calculate the summary effect and its confidence interval. So a statistically significant test of heterogeneity across pooled trials favors the random effects model, while a fixed effect model suits pooled trials with no significant heterogeneity. A model that assumes a different effect in every study would not justify pooling to one fixed magnitude, and counting positive studies is not a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val="0"/>
          <w:i w:val="0"/>
        </w:rPr>
        <w:t>Also tested</w:t>
      </w:r>
    </w:p>
    <w:p>
      <w:pPr>
        <w:pStyle w:val="ListBullet"/>
        <w:spacing w:after="40"/>
      </w:pPr>
      <w:r>
        <w:rPr>
          <w:b/>
          <w:i w:val="0"/>
          <w:sz w:val="20"/>
        </w:rPr>
        <w:t>Statistics on poorly designed research.</w:t>
      </w:r>
      <w:r>
        <w:rPr>
          <w:b w:val="0"/>
          <w:i w:val="0"/>
          <w:sz w:val="20"/>
        </w:rPr>
        <w:t xml:space="preserve"> Statistical analysis may give a false sense of respectability to the research, because no analysis can correct for unknown biases.</w:t>
      </w:r>
    </w:p>
    <w:p>
      <w:pPr>
        <w:pStyle w:val="ListBullet"/>
        <w:spacing w:after="40"/>
      </w:pPr>
      <w:r>
        <w:rPr>
          <w:b/>
          <w:i w:val="0"/>
          <w:sz w:val="20"/>
        </w:rPr>
        <w:t>Questions for any study.</w:t>
      </w:r>
      <w:r>
        <w:rPr>
          <w:b w:val="0"/>
          <w:i w:val="0"/>
          <w:sz w:val="20"/>
        </w:rPr>
        <w:t xml:space="preserve"> A provider should ask: are the conclusions valid for the sample (internal validity), and does the sample represent my patients (external validity)?</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val="0"/>
          <w:i w:val="0"/>
        </w:rPr>
        <w:t>Also tested</w:t>
      </w:r>
    </w:p>
    <w:p>
      <w:pPr>
        <w:pStyle w:val="ListBullet"/>
        <w:spacing w:after="40"/>
      </w:pPr>
      <w:r>
        <w:rPr>
          <w:b/>
          <w:i w:val="0"/>
          <w:sz w:val="20"/>
        </w:rPr>
        <w:t>Narrowing the study population.</w:t>
      </w:r>
      <w:r>
        <w:rPr>
          <w:b w:val="0"/>
          <w:i w:val="0"/>
          <w:sz w:val="20"/>
        </w:rPr>
        <w:t xml:space="preserve"> Doing so may curtail generalizability. The trade is often worth making, as when a study is limited to those in a service region who need the service, but the limit has to be acknowledged.</w:t>
      </w:r>
    </w:p>
    <w:p>
      <w:pPr>
        <w:pStyle w:val="ListBullet"/>
        <w:spacing w:after="40"/>
      </w:pPr>
      <w:r>
        <w:rPr>
          <w:b/>
          <w:i w:val="0"/>
          <w:sz w:val="20"/>
        </w:rPr>
        <w:t>Population at risk.</w:t>
      </w:r>
      <w:r>
        <w:rPr>
          <w:b w:val="0"/>
          <w:i w:val="0"/>
          <w:sz w:val="20"/>
        </w:rPr>
        <w:t xml:space="preserve"> Only those susceptible to the disease or outcome are included; for example, men are not included in the denominator of a study of ovarian cancer.</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