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6B3524"/>
        </w:rPr>
        <w:t>Antiarrhythmic Drugs Compared by Class</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Pharmacology I · Exam 3 · Class of 2028</w:t>
      </w:r>
    </w:p>
    <w:p>
      <w:pPr>
        <w:spacing w:after="120"/>
      </w:pPr>
      <w:r>
        <w:rPr>
          <w:b w:val="0"/>
          <w:i w:val="0"/>
        </w:rPr>
        <w:t>Classes I to IV and the three miscellaneous agents side by side: what each blocks, what it does to the action potential (read off the slide pictures), what it does to conduction, what it is for, what it causes and what to avoid.</w:t>
      </w:r>
    </w:p>
    <w:p>
      <w:pPr>
        <w:pStyle w:val="Heading1"/>
        <w:spacing w:before="280" w:after="100"/>
      </w:pPr>
      <w:r>
        <w:rPr>
          <w:rFonts w:ascii="Georgia" w:hAnsi="Georgia"/>
          <w:color w:val="6B3524"/>
        </w:rPr>
        <w:t>Lecture 10 — Antiarrhythmic Drugs 9 rows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Read the indications column for the trend.</w:t>
            </w:r>
            <w:r>
              <w:rPr>
                <w:b w:val="0"/>
                <w:i w:val="0"/>
              </w:rPr>
              <w:t xml:space="preserve"> Class I and class III work on both supraventricular and ventricular arrhythmias; class II, class IV and the miscellaneous agents are listed for supraventricular arrhythmias (propranolol's slide adds ventricular ectopic beats, and verapamil and diltiazem are to be avoided in ventricular arrhythmias). </w:t>
            </w:r>
            <w:r>
              <w:rPr>
                <w:b/>
                <w:i w:val="0"/>
              </w:rPr>
              <w:t>Read the action potential column for the mechanism:</w:t>
            </w:r>
            <w:r>
              <w:rPr>
                <w:b w:val="0"/>
                <w:i w:val="0"/>
              </w:rPr>
              <w:t xml:space="preserve"> class IA and IC slow phase 0 (IC the most), class IB shortens the action potential and works mainly in ischemic tissue, class III lengthens repolarization, and class II and IV flatten phase 4 in the pacemaker cells of the sinoatrial and atrioventricular nodes. </w:t>
            </w:r>
            <w:r>
              <w:rPr>
                <w:b/>
                <w:i w:val="0"/>
              </w:rPr>
              <w:t>Torsades de pointes</w:t>
            </w:r>
            <w:r>
              <w:rPr>
                <w:b w:val="0"/>
                <w:i w:val="0"/>
              </w:rPr>
              <w:t xml:space="preserve"> belongs to the drugs that lengthen repolarization (class IA, dofetilide, sotalol) and is treated with magnesium sulfate. Doses are not tested and are left out.</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1818"/>
        <w:gridCol w:w="1818"/>
        <w:gridCol w:w="1818"/>
        <w:gridCol w:w="1818"/>
        <w:gridCol w:w="1818"/>
        <w:gridCol w:w="1818"/>
        <w:gridCol w:w="1818"/>
        <w:gridCol w:w="1818"/>
      </w:tblGrid>
      <w:tr>
        <w:tc>
          <w:tcPr>
            <w:tcW w:type="dxa" w:w="1818"/>
            <w:shd w:val="clear" w:color="auto" w:fill="6B3524"/>
          </w:tcPr>
          <w:p>
            <w:pPr>
              <w:spacing w:after="40"/>
            </w:pPr>
            <w:r>
              <w:rPr>
                <w:b/>
                <w:color w:val="FFFFFF"/>
                <w:sz w:val="18"/>
              </w:rPr>
            </w:r>
            <w:r>
              <w:rPr>
                <w:b/>
                <w:i w:val="0"/>
                <w:color w:val="FFFFFF"/>
                <w:sz w:val="18"/>
              </w:rPr>
              <w:t>Class and drugs</w:t>
            </w:r>
          </w:p>
        </w:tc>
        <w:tc>
          <w:tcPr>
            <w:tcW w:type="dxa" w:w="1818"/>
            <w:shd w:val="clear" w:color="auto" w:fill="6B3524"/>
          </w:tcPr>
          <w:p>
            <w:pPr>
              <w:spacing w:after="40"/>
            </w:pPr>
            <w:r>
              <w:rPr>
                <w:b/>
                <w:color w:val="FFFFFF"/>
                <w:sz w:val="18"/>
              </w:rPr>
            </w:r>
            <w:r>
              <w:rPr>
                <w:b/>
                <w:i w:val="0"/>
                <w:color w:val="FFFFFF"/>
                <w:sz w:val="18"/>
              </w:rPr>
              <w:t>What it blocks</w:t>
            </w:r>
          </w:p>
        </w:tc>
        <w:tc>
          <w:tcPr>
            <w:tcW w:type="dxa" w:w="1818"/>
            <w:shd w:val="clear" w:color="auto" w:fill="6B3524"/>
          </w:tcPr>
          <w:p>
            <w:pPr>
              <w:spacing w:after="40"/>
            </w:pPr>
            <w:r>
              <w:rPr>
                <w:b/>
                <w:color w:val="FFFFFF"/>
                <w:sz w:val="18"/>
              </w:rPr>
            </w:r>
            <w:r>
              <w:rPr>
                <w:b/>
                <w:i w:val="0"/>
                <w:color w:val="FFFFFF"/>
                <w:sz w:val="18"/>
              </w:rPr>
              <w:t>Effect on the action potential</w:t>
            </w:r>
          </w:p>
        </w:tc>
        <w:tc>
          <w:tcPr>
            <w:tcW w:type="dxa" w:w="1818"/>
            <w:shd w:val="clear" w:color="auto" w:fill="6B3524"/>
          </w:tcPr>
          <w:p>
            <w:pPr>
              <w:spacing w:after="40"/>
            </w:pPr>
            <w:r>
              <w:rPr>
                <w:b/>
                <w:color w:val="FFFFFF"/>
                <w:sz w:val="18"/>
              </w:rPr>
            </w:r>
            <w:r>
              <w:rPr>
                <w:b/>
                <w:i w:val="0"/>
                <w:color w:val="FFFFFF"/>
                <w:sz w:val="18"/>
              </w:rPr>
              <w:t>Main actions</w:t>
            </w:r>
          </w:p>
        </w:tc>
        <w:tc>
          <w:tcPr>
            <w:tcW w:type="dxa" w:w="1818"/>
            <w:shd w:val="clear" w:color="auto" w:fill="6B3524"/>
          </w:tcPr>
          <w:p>
            <w:pPr>
              <w:spacing w:after="40"/>
            </w:pPr>
            <w:r>
              <w:rPr>
                <w:b/>
                <w:color w:val="FFFFFF"/>
                <w:sz w:val="18"/>
              </w:rPr>
            </w:r>
            <w:r>
              <w:rPr>
                <w:b/>
                <w:i w:val="0"/>
                <w:color w:val="FFFFFF"/>
                <w:sz w:val="18"/>
              </w:rPr>
              <w:t>Indications</w:t>
            </w:r>
          </w:p>
        </w:tc>
        <w:tc>
          <w:tcPr>
            <w:tcW w:type="dxa" w:w="1818"/>
            <w:shd w:val="clear" w:color="auto" w:fill="6B3524"/>
          </w:tcPr>
          <w:p>
            <w:pPr>
              <w:spacing w:after="40"/>
            </w:pPr>
            <w:r>
              <w:rPr>
                <w:b/>
                <w:color w:val="FFFFFF"/>
                <w:sz w:val="18"/>
              </w:rPr>
            </w:r>
            <w:r>
              <w:rPr>
                <w:b/>
                <w:i w:val="0"/>
                <w:color w:val="FFFFFF"/>
                <w:sz w:val="18"/>
              </w:rPr>
              <w:t>Main adverse effects</w:t>
            </w:r>
          </w:p>
        </w:tc>
        <w:tc>
          <w:tcPr>
            <w:tcW w:type="dxa" w:w="1818"/>
            <w:shd w:val="clear" w:color="auto" w:fill="6B3524"/>
          </w:tcPr>
          <w:p>
            <w:pPr>
              <w:spacing w:after="40"/>
            </w:pPr>
            <w:r>
              <w:rPr>
                <w:b/>
                <w:color w:val="FFFFFF"/>
                <w:sz w:val="18"/>
              </w:rPr>
            </w:r>
            <w:r>
              <w:rPr>
                <w:b/>
                <w:i w:val="0"/>
                <w:color w:val="FFFFFF"/>
                <w:sz w:val="18"/>
              </w:rPr>
              <w:t>Avoid, cautions and interactions</w:t>
            </w:r>
          </w:p>
        </w:tc>
        <w:tc>
          <w:tcPr>
            <w:tcW w:type="dxa" w:w="1818"/>
            <w:shd w:val="clear" w:color="auto" w:fill="6B3524"/>
          </w:tcPr>
          <w:p>
            <w:pPr>
              <w:spacing w:after="40"/>
            </w:pPr>
            <w:r>
              <w:rPr>
                <w:b/>
                <w:color w:val="FFFFFF"/>
                <w:sz w:val="18"/>
              </w:rPr>
            </w:r>
            <w:r>
              <w:rPr>
                <w:b/>
                <w:i w:val="0"/>
                <w:color w:val="FFFFFF"/>
                <w:sz w:val="18"/>
              </w:rPr>
              <w:t>Source</w:t>
            </w:r>
          </w:p>
        </w:tc>
      </w:tr>
      <w:tr>
        <w:tc>
          <w:tcPr>
            <w:tcW w:type="dxa" w:w="1818"/>
          </w:tcPr>
          <w:p>
            <w:pPr>
              <w:spacing w:after="40"/>
            </w:pPr>
            <w:r>
              <w:rPr>
                <w:sz w:val="18"/>
              </w:rPr>
            </w:r>
            <w:r>
              <w:rPr>
                <w:b/>
                <w:i w:val="0"/>
                <w:sz w:val="18"/>
              </w:rPr>
              <w:t>Class IA</w:t>
            </w:r>
            <w:r>
              <w:rPr>
                <w:sz w:val="18"/>
              </w:rPr>
              <w:br/>
            </w:r>
            <w:r>
              <w:rPr>
                <w:b w:val="0"/>
                <w:i w:val="0"/>
                <w:sz w:val="18"/>
              </w:rPr>
              <w:t>quinidine, procainamide, disopyramide</w:t>
            </w:r>
          </w:p>
        </w:tc>
        <w:tc>
          <w:tcPr>
            <w:tcW w:type="dxa" w:w="1818"/>
          </w:tcPr>
          <w:p>
            <w:pPr>
              <w:spacing w:after="40"/>
            </w:pPr>
            <w:r>
              <w:rPr>
                <w:sz w:val="18"/>
              </w:rPr>
            </w:r>
            <w:r>
              <w:rPr>
                <w:b w:val="0"/>
                <w:i w:val="0"/>
                <w:sz w:val="18"/>
              </w:rPr>
              <w:t>Sodium channel (prefers the open channel; slow dissociation)</w:t>
            </w:r>
          </w:p>
        </w:tc>
        <w:tc>
          <w:tcPr>
            <w:tcW w:type="dxa" w:w="1818"/>
          </w:tcPr>
          <w:p>
            <w:pPr>
              <w:spacing w:after="40"/>
            </w:pPr>
            <w:r>
              <w:rPr>
                <w:sz w:val="18"/>
              </w:rPr>
            </w:r>
            <w:r>
              <w:rPr>
                <w:b/>
                <w:i w:val="0"/>
                <w:sz w:val="18"/>
              </w:rPr>
              <w:t>Slower, lower phase 0; longer action potential</w:t>
            </w:r>
            <w:r>
              <w:rPr>
                <w:b w:val="0"/>
                <w:i w:val="0"/>
                <w:sz w:val="18"/>
              </w:rPr>
              <w:t xml:space="preserve"> (slide 8 picture)</w:t>
            </w:r>
          </w:p>
        </w:tc>
        <w:tc>
          <w:tcPr>
            <w:tcW w:type="dxa" w:w="1818"/>
          </w:tcPr>
          <w:p>
            <w:pPr>
              <w:spacing w:after="40"/>
            </w:pPr>
            <w:r>
              <w:rPr>
                <w:sz w:val="18"/>
              </w:rPr>
            </w:r>
            <w:r>
              <w:rPr>
                <w:b w:val="0"/>
                <w:i w:val="0"/>
                <w:sz w:val="18"/>
              </w:rPr>
              <w:t>Slow conduction; prolong the action potential and refractory period; quinidine is also anticholinergic and an alpha blocker at higher doses</w:t>
            </w:r>
          </w:p>
        </w:tc>
        <w:tc>
          <w:tcPr>
            <w:tcW w:type="dxa" w:w="1818"/>
          </w:tcPr>
          <w:p>
            <w:pPr>
              <w:spacing w:after="40"/>
            </w:pPr>
            <w:r>
              <w:rPr>
                <w:sz w:val="18"/>
              </w:rPr>
            </w:r>
            <w:r>
              <w:rPr>
                <w:b w:val="0"/>
                <w:i w:val="0"/>
                <w:sz w:val="18"/>
              </w:rPr>
              <w:t>Supraventricular tachycardia; ventricular tachycardia; prevention of ventricular fibrillation and premature ventricular contractions</w:t>
            </w:r>
          </w:p>
        </w:tc>
        <w:tc>
          <w:tcPr>
            <w:tcW w:type="dxa" w:w="1818"/>
          </w:tcPr>
          <w:p>
            <w:pPr>
              <w:spacing w:after="40"/>
            </w:pPr>
            <w:r>
              <w:rPr>
                <w:sz w:val="18"/>
              </w:rPr>
            </w:r>
            <w:r>
              <w:rPr>
                <w:b/>
                <w:i w:val="0"/>
                <w:sz w:val="18"/>
              </w:rPr>
              <w:t>Torsades de pointes</w:t>
            </w:r>
            <w:r>
              <w:rPr>
                <w:b w:val="0"/>
                <w:i w:val="0"/>
                <w:sz w:val="18"/>
              </w:rPr>
              <w:t xml:space="preserve">; quinidine: diarrhea (30 to 50 percent), cinchonism, thrombocytopenia, quinidine sudden death; procainamide: </w:t>
            </w:r>
            <w:r>
              <w:rPr>
                <w:b/>
                <w:i w:val="0"/>
                <w:sz w:val="18"/>
              </w:rPr>
              <w:t>lupus-like syndrome</w:t>
            </w:r>
            <w:r>
              <w:rPr>
                <w:b w:val="0"/>
                <w:i w:val="0"/>
                <w:sz w:val="18"/>
              </w:rPr>
              <w:t>, bone marrow suppression; disopyramide: antimuscarinic effects, heart failure</w:t>
            </w:r>
          </w:p>
        </w:tc>
        <w:tc>
          <w:tcPr>
            <w:tcW w:type="dxa" w:w="1818"/>
          </w:tcPr>
          <w:p>
            <w:pPr>
              <w:spacing w:after="40"/>
            </w:pPr>
            <w:r>
              <w:rPr>
                <w:sz w:val="18"/>
              </w:rPr>
            </w:r>
            <w:r>
              <w:rPr>
                <w:b w:val="0"/>
                <w:i w:val="0"/>
                <w:sz w:val="18"/>
              </w:rPr>
              <w:t xml:space="preserve">Disopyramide contraindicated in </w:t>
            </w:r>
            <w:r>
              <w:rPr>
                <w:b/>
                <w:i w:val="0"/>
                <w:sz w:val="18"/>
              </w:rPr>
              <w:t>heart block and glaucoma</w:t>
            </w:r>
            <w:r>
              <w:rPr>
                <w:b w:val="0"/>
                <w:i w:val="0"/>
                <w:sz w:val="18"/>
              </w:rPr>
              <w:t>; quinidine inhibits CYP2D6 (codeine, morphine)</w:t>
            </w:r>
          </w:p>
        </w:tc>
        <w:tc>
          <w:tcPr>
            <w:tcW w:type="dxa" w:w="1818"/>
          </w:tcPr>
          <w:p>
            <w:pPr>
              <w:spacing w:after="40"/>
            </w:pPr>
            <w:r>
              <w:rPr>
                <w:sz w:val="18"/>
              </w:rPr>
            </w:r>
            <w:r>
              <w:rPr>
                <w:b w:val="0"/>
                <w:i w:val="0"/>
                <w:sz w:val="18"/>
              </w:rPr>
              <w:t>L10</w:t>
            </w:r>
            <w:r>
              <w:rPr>
                <w:sz w:val="18"/>
              </w:rPr>
              <w:br/>
            </w:r>
            <w:r>
              <w:rPr>
                <w:b w:val="0"/>
                <w:i w:val="0"/>
                <w:sz w:val="18"/>
              </w:rPr>
              <w:t>slide 8</w:t>
            </w:r>
            <w:r>
              <w:rPr>
                <w:sz w:val="18"/>
              </w:rPr>
              <w:br/>
            </w:r>
            <w:r>
              <w:rPr>
                <w:b w:val="0"/>
                <w:i w:val="0"/>
                <w:sz w:val="18"/>
              </w:rPr>
              <w:t>slide 6</w:t>
            </w:r>
            <w:r>
              <w:rPr>
                <w:sz w:val="18"/>
              </w:rPr>
              <w:br/>
            </w:r>
            <w:r>
              <w:rPr>
                <w:b w:val="0"/>
                <w:i w:val="0"/>
                <w:sz w:val="18"/>
              </w:rPr>
              <w:t>slide 11</w:t>
            </w:r>
            <w:r>
              <w:rPr>
                <w:sz w:val="18"/>
              </w:rPr>
              <w:br/>
            </w:r>
            <w:r>
              <w:rPr>
                <w:b w:val="0"/>
                <w:i w:val="0"/>
                <w:sz w:val="18"/>
              </w:rPr>
              <w:t>slide 13</w:t>
            </w:r>
            <w:r>
              <w:rPr>
                <w:sz w:val="18"/>
              </w:rPr>
              <w:br/>
            </w:r>
            <w:r>
              <w:rPr>
                <w:b w:val="0"/>
                <w:i w:val="0"/>
                <w:sz w:val="18"/>
              </w:rPr>
              <w:t>slide 15</w:t>
            </w:r>
          </w:p>
        </w:tc>
      </w:tr>
      <w:tr>
        <w:tc>
          <w:tcPr>
            <w:tcW w:type="dxa" w:w="1818"/>
          </w:tcPr>
          <w:p>
            <w:pPr>
              <w:spacing w:after="40"/>
            </w:pPr>
            <w:r>
              <w:rPr>
                <w:sz w:val="18"/>
              </w:rPr>
            </w:r>
            <w:r>
              <w:rPr>
                <w:b/>
                <w:i w:val="0"/>
                <w:sz w:val="18"/>
              </w:rPr>
              <w:t>Class IB</w:t>
            </w:r>
            <w:r>
              <w:rPr>
                <w:sz w:val="18"/>
              </w:rPr>
              <w:br/>
            </w:r>
            <w:r>
              <w:rPr>
                <w:b w:val="0"/>
                <w:i w:val="0"/>
                <w:sz w:val="18"/>
              </w:rPr>
              <w:t>lidocaine</w:t>
            </w:r>
          </w:p>
        </w:tc>
        <w:tc>
          <w:tcPr>
            <w:tcW w:type="dxa" w:w="1818"/>
          </w:tcPr>
          <w:p>
            <w:pPr>
              <w:spacing w:after="40"/>
            </w:pPr>
            <w:r>
              <w:rPr>
                <w:sz w:val="18"/>
              </w:rPr>
            </w:r>
            <w:r>
              <w:rPr>
                <w:b w:val="0"/>
                <w:i w:val="0"/>
                <w:sz w:val="18"/>
              </w:rPr>
              <w:t xml:space="preserve">Sodium channel (prefers the inactivated channel; rapid dissociation); </w:t>
            </w:r>
            <w:r>
              <w:rPr>
                <w:b/>
                <w:i w:val="0"/>
                <w:sz w:val="18"/>
              </w:rPr>
              <w:t>higher affinity in ischemic tissue, little effect in normal tissue</w:t>
            </w:r>
          </w:p>
        </w:tc>
        <w:tc>
          <w:tcPr>
            <w:tcW w:type="dxa" w:w="1818"/>
          </w:tcPr>
          <w:p>
            <w:pPr>
              <w:spacing w:after="40"/>
            </w:pPr>
            <w:r>
              <w:rPr>
                <w:sz w:val="18"/>
              </w:rPr>
            </w:r>
            <w:r>
              <w:rPr>
                <w:b/>
                <w:i w:val="0"/>
                <w:sz w:val="18"/>
              </w:rPr>
              <w:t>Shorter action potential</w:t>
            </w:r>
            <w:r>
              <w:rPr>
                <w:b w:val="0"/>
                <w:i w:val="0"/>
                <w:sz w:val="18"/>
              </w:rPr>
              <w:t xml:space="preserve"> (phase 3 shortened); phase 0 unchanged (slide 16 picture)</w:t>
            </w:r>
          </w:p>
        </w:tc>
        <w:tc>
          <w:tcPr>
            <w:tcW w:type="dxa" w:w="1818"/>
          </w:tcPr>
          <w:p>
            <w:pPr>
              <w:spacing w:after="40"/>
            </w:pPr>
            <w:r>
              <w:rPr>
                <w:sz w:val="18"/>
              </w:rPr>
            </w:r>
            <w:r>
              <w:rPr>
                <w:b w:val="0"/>
                <w:i w:val="0"/>
                <w:sz w:val="18"/>
              </w:rPr>
              <w:t>Shorten phase 3; decrease ectopic foci automaticity</w:t>
            </w:r>
          </w:p>
        </w:tc>
        <w:tc>
          <w:tcPr>
            <w:tcW w:type="dxa" w:w="1818"/>
          </w:tcPr>
          <w:p>
            <w:pPr>
              <w:spacing w:after="40"/>
            </w:pPr>
            <w:r>
              <w:rPr>
                <w:sz w:val="18"/>
              </w:rPr>
            </w:r>
            <w:r>
              <w:rPr>
                <w:b w:val="0"/>
                <w:i w:val="0"/>
                <w:sz w:val="18"/>
              </w:rPr>
              <w:t xml:space="preserve">Ventricular tachycardia and premature beats, ventricular fibrillation, acute myocardial infarction (Wolff-Parkinson-White is also listed); </w:t>
            </w:r>
            <w:r>
              <w:rPr>
                <w:b/>
                <w:i w:val="0"/>
                <w:sz w:val="18"/>
              </w:rPr>
              <w:t>not effective against atrial arrhythmias</w:t>
            </w:r>
          </w:p>
        </w:tc>
        <w:tc>
          <w:tcPr>
            <w:tcW w:type="dxa" w:w="1818"/>
          </w:tcPr>
          <w:p>
            <w:pPr>
              <w:spacing w:after="40"/>
            </w:pPr>
            <w:r>
              <w:rPr>
                <w:sz w:val="18"/>
              </w:rPr>
            </w:r>
            <w:r>
              <w:rPr>
                <w:b/>
                <w:i w:val="0"/>
                <w:sz w:val="18"/>
              </w:rPr>
              <w:t>Central nervous system toxicity</w:t>
            </w:r>
            <w:r>
              <w:rPr>
                <w:b w:val="0"/>
                <w:i w:val="0"/>
                <w:sz w:val="18"/>
              </w:rPr>
              <w:t xml:space="preserve">: drowsiness, confusion, restlessness, muscle twitches, seizures; </w:t>
            </w:r>
            <w:r>
              <w:rPr>
                <w:b/>
                <w:i w:val="0"/>
                <w:sz w:val="18"/>
              </w:rPr>
              <w:t>nystagmus is the early sign</w:t>
            </w:r>
            <w:r>
              <w:rPr>
                <w:b w:val="0"/>
                <w:i w:val="0"/>
                <w:sz w:val="18"/>
              </w:rPr>
              <w:t>; hypersensitivity</w:t>
            </w:r>
          </w:p>
        </w:tc>
        <w:tc>
          <w:tcPr>
            <w:tcW w:type="dxa" w:w="1818"/>
          </w:tcPr>
          <w:p>
            <w:pPr>
              <w:spacing w:after="40"/>
            </w:pPr>
            <w:r>
              <w:rPr>
                <w:sz w:val="18"/>
              </w:rPr>
            </w:r>
            <w:r>
              <w:rPr>
                <w:b/>
                <w:i w:val="0"/>
                <w:sz w:val="18"/>
              </w:rPr>
              <w:t>Intravenous only</w:t>
            </w:r>
            <w:r>
              <w:rPr>
                <w:b w:val="0"/>
                <w:i w:val="0"/>
                <w:sz w:val="18"/>
              </w:rPr>
              <w:t xml:space="preserve"> (extensive first-pass metabolism); contraindications: seizures, age</w:t>
            </w:r>
          </w:p>
        </w:tc>
        <w:tc>
          <w:tcPr>
            <w:tcW w:type="dxa" w:w="1818"/>
          </w:tcPr>
          <w:p>
            <w:pPr>
              <w:spacing w:after="40"/>
            </w:pPr>
            <w:r>
              <w:rPr>
                <w:sz w:val="18"/>
              </w:rPr>
            </w:r>
            <w:r>
              <w:rPr>
                <w:b w:val="0"/>
                <w:i w:val="0"/>
                <w:sz w:val="18"/>
              </w:rPr>
              <w:t>L10</w:t>
            </w:r>
            <w:r>
              <w:rPr>
                <w:sz w:val="18"/>
              </w:rPr>
              <w:br/>
            </w:r>
            <w:r>
              <w:rPr>
                <w:b w:val="0"/>
                <w:i w:val="0"/>
                <w:sz w:val="18"/>
              </w:rPr>
              <w:t>slide 16</w:t>
            </w:r>
            <w:r>
              <w:rPr>
                <w:sz w:val="18"/>
              </w:rPr>
              <w:br/>
            </w:r>
            <w:r>
              <w:rPr>
                <w:b w:val="0"/>
                <w:i w:val="0"/>
                <w:sz w:val="18"/>
              </w:rPr>
              <w:t>slide 17</w:t>
            </w:r>
            <w:r>
              <w:rPr>
                <w:sz w:val="18"/>
              </w:rPr>
              <w:br/>
            </w:r>
            <w:r>
              <w:rPr>
                <w:b w:val="0"/>
                <w:i w:val="0"/>
                <w:sz w:val="18"/>
              </w:rPr>
              <w:t>slide 18</w:t>
            </w:r>
            <w:r>
              <w:rPr>
                <w:sz w:val="18"/>
              </w:rPr>
              <w:br/>
            </w:r>
            <w:r>
              <w:rPr>
                <w:b w:val="0"/>
                <w:i w:val="0"/>
                <w:sz w:val="18"/>
              </w:rPr>
              <w:t>slide 19</w:t>
            </w:r>
          </w:p>
        </w:tc>
      </w:tr>
      <w:tr>
        <w:tc>
          <w:tcPr>
            <w:tcW w:type="dxa" w:w="1818"/>
          </w:tcPr>
          <w:p>
            <w:pPr>
              <w:spacing w:after="40"/>
            </w:pPr>
            <w:r>
              <w:rPr>
                <w:sz w:val="18"/>
              </w:rPr>
            </w:r>
            <w:r>
              <w:rPr>
                <w:b/>
                <w:i w:val="0"/>
                <w:sz w:val="18"/>
              </w:rPr>
              <w:t>Class IC</w:t>
            </w:r>
            <w:r>
              <w:rPr>
                <w:sz w:val="18"/>
              </w:rPr>
              <w:br/>
            </w:r>
            <w:r>
              <w:rPr>
                <w:b w:val="0"/>
                <w:i w:val="0"/>
                <w:sz w:val="18"/>
              </w:rPr>
              <w:t>flecainide, propafenone</w:t>
            </w:r>
          </w:p>
        </w:tc>
        <w:tc>
          <w:tcPr>
            <w:tcW w:type="dxa" w:w="1818"/>
          </w:tcPr>
          <w:p>
            <w:pPr>
              <w:spacing w:after="40"/>
            </w:pPr>
            <w:r>
              <w:rPr>
                <w:sz w:val="18"/>
              </w:rPr>
            </w:r>
            <w:r>
              <w:rPr>
                <w:b w:val="0"/>
                <w:i w:val="0"/>
                <w:sz w:val="18"/>
              </w:rPr>
              <w:t>Sodium channel (prefers the open channel; very slow dissociation); flecainide also blocks potassium channels in the ventricles; propafenone also has beta-blocking activity</w:t>
            </w:r>
          </w:p>
        </w:tc>
        <w:tc>
          <w:tcPr>
            <w:tcW w:type="dxa" w:w="1818"/>
          </w:tcPr>
          <w:p>
            <w:pPr>
              <w:spacing w:after="40"/>
            </w:pPr>
            <w:r>
              <w:rPr>
                <w:sz w:val="18"/>
              </w:rPr>
            </w:r>
            <w:r>
              <w:rPr>
                <w:b/>
                <w:i w:val="0"/>
                <w:sz w:val="18"/>
              </w:rPr>
              <w:t>Markedly slower phase 0</w:t>
            </w:r>
            <w:r>
              <w:rPr>
                <w:b w:val="0"/>
                <w:i w:val="0"/>
                <w:sz w:val="18"/>
              </w:rPr>
              <w:t xml:space="preserve"> (slide 20 picture)</w:t>
            </w:r>
          </w:p>
        </w:tc>
        <w:tc>
          <w:tcPr>
            <w:tcW w:type="dxa" w:w="1818"/>
          </w:tcPr>
          <w:p>
            <w:pPr>
              <w:spacing w:after="40"/>
            </w:pPr>
            <w:r>
              <w:rPr>
                <w:sz w:val="18"/>
              </w:rPr>
            </w:r>
            <w:r>
              <w:rPr>
                <w:b w:val="0"/>
                <w:i w:val="0"/>
                <w:sz w:val="18"/>
              </w:rPr>
              <w:t xml:space="preserve">Slow conduction; prolong the refractory period; </w:t>
            </w:r>
            <w:r>
              <w:rPr>
                <w:b/>
                <w:i w:val="0"/>
                <w:sz w:val="18"/>
              </w:rPr>
              <w:t>affect the normal heart</w:t>
            </w:r>
            <w:r>
              <w:rPr>
                <w:b w:val="0"/>
                <w:i w:val="0"/>
                <w:sz w:val="18"/>
              </w:rPr>
              <w:t>; flecainide prolongs the PR, QRS and QT intervals</w:t>
            </w:r>
          </w:p>
        </w:tc>
        <w:tc>
          <w:tcPr>
            <w:tcW w:type="dxa" w:w="1818"/>
          </w:tcPr>
          <w:p>
            <w:pPr>
              <w:spacing w:after="40"/>
            </w:pPr>
            <w:r>
              <w:rPr>
                <w:sz w:val="18"/>
              </w:rPr>
            </w:r>
            <w:r>
              <w:rPr>
                <w:b w:val="0"/>
                <w:i w:val="0"/>
                <w:sz w:val="18"/>
              </w:rPr>
              <w:t>Life-threatening ventricular tachycardia or fibrillation; refractory supraventricular tachycardia; flecainide prevents premature ventricular contractions</w:t>
            </w:r>
          </w:p>
        </w:tc>
        <w:tc>
          <w:tcPr>
            <w:tcW w:type="dxa" w:w="1818"/>
          </w:tcPr>
          <w:p>
            <w:pPr>
              <w:spacing w:after="40"/>
            </w:pPr>
            <w:r>
              <w:rPr>
                <w:sz w:val="18"/>
              </w:rPr>
            </w:r>
            <w:r>
              <w:rPr>
                <w:b/>
                <w:i w:val="0"/>
                <w:sz w:val="18"/>
              </w:rPr>
              <w:t>Increased mortality after myocardial infarction</w:t>
            </w:r>
            <w:r>
              <w:rPr>
                <w:b w:val="0"/>
                <w:i w:val="0"/>
                <w:sz w:val="18"/>
              </w:rPr>
              <w:t xml:space="preserve"> (flecainide); proarrhythmia (ventricular tachycardia resistant to treatment); bronchospasm; blurred vision; thrombocytopenia; propafenone: agranulocytosis, worsened heart failure</w:t>
            </w:r>
          </w:p>
        </w:tc>
        <w:tc>
          <w:tcPr>
            <w:tcW w:type="dxa" w:w="1818"/>
          </w:tcPr>
          <w:p>
            <w:pPr>
              <w:spacing w:after="40"/>
            </w:pPr>
            <w:r>
              <w:rPr>
                <w:sz w:val="18"/>
              </w:rPr>
            </w:r>
            <w:r>
              <w:rPr>
                <w:b/>
                <w:i w:val="0"/>
                <w:sz w:val="18"/>
              </w:rPr>
              <w:t>Flecainide only without significant structural heart damage</w:t>
            </w:r>
            <w:r>
              <w:rPr>
                <w:b w:val="0"/>
                <w:i w:val="0"/>
                <w:sz w:val="18"/>
              </w:rPr>
              <w:t>; long half-life (14 hours)</w:t>
            </w:r>
          </w:p>
        </w:tc>
        <w:tc>
          <w:tcPr>
            <w:tcW w:type="dxa" w:w="1818"/>
          </w:tcPr>
          <w:p>
            <w:pPr>
              <w:spacing w:after="40"/>
            </w:pPr>
            <w:r>
              <w:rPr>
                <w:sz w:val="18"/>
              </w:rPr>
            </w:r>
            <w:r>
              <w:rPr>
                <w:b w:val="0"/>
                <w:i w:val="0"/>
                <w:sz w:val="18"/>
              </w:rPr>
              <w:t>L10</w:t>
            </w:r>
            <w:r>
              <w:rPr>
                <w:sz w:val="18"/>
              </w:rPr>
              <w:br/>
            </w:r>
            <w:r>
              <w:rPr>
                <w:b w:val="0"/>
                <w:i w:val="0"/>
                <w:sz w:val="18"/>
              </w:rPr>
              <w:t>slide 20</w:t>
            </w:r>
            <w:r>
              <w:rPr>
                <w:sz w:val="18"/>
              </w:rPr>
              <w:br/>
            </w:r>
            <w:r>
              <w:rPr>
                <w:b w:val="0"/>
                <w:i w:val="0"/>
                <w:sz w:val="18"/>
              </w:rPr>
              <w:t>slide 21</w:t>
            </w:r>
            <w:r>
              <w:rPr>
                <w:sz w:val="18"/>
              </w:rPr>
              <w:br/>
            </w:r>
            <w:r>
              <w:rPr>
                <w:b w:val="0"/>
                <w:i w:val="0"/>
                <w:sz w:val="18"/>
              </w:rPr>
              <w:t>slide 22</w:t>
            </w:r>
            <w:r>
              <w:rPr>
                <w:sz w:val="18"/>
              </w:rPr>
              <w:br/>
            </w:r>
            <w:r>
              <w:rPr>
                <w:b w:val="0"/>
                <w:i w:val="0"/>
                <w:sz w:val="18"/>
              </w:rPr>
              <w:t>slide 23</w:t>
            </w:r>
            <w:r>
              <w:rPr>
                <w:sz w:val="18"/>
              </w:rPr>
              <w:br/>
            </w:r>
            <w:r>
              <w:rPr>
                <w:b w:val="0"/>
                <w:i w:val="0"/>
                <w:sz w:val="18"/>
              </w:rPr>
              <w:t>slide 24</w:t>
            </w:r>
          </w:p>
        </w:tc>
      </w:tr>
      <w:tr>
        <w:tc>
          <w:tcPr>
            <w:tcW w:type="dxa" w:w="1818"/>
          </w:tcPr>
          <w:p>
            <w:pPr>
              <w:spacing w:after="40"/>
            </w:pPr>
            <w:r>
              <w:rPr>
                <w:sz w:val="18"/>
              </w:rPr>
            </w:r>
            <w:r>
              <w:rPr>
                <w:b/>
                <w:i w:val="0"/>
                <w:sz w:val="18"/>
              </w:rPr>
              <w:t>Class II</w:t>
            </w:r>
            <w:r>
              <w:rPr>
                <w:sz w:val="18"/>
              </w:rPr>
              <w:br/>
            </w:r>
            <w:r>
              <w:rPr>
                <w:b w:val="0"/>
                <w:i w:val="0"/>
                <w:sz w:val="18"/>
              </w:rPr>
              <w:t>propranolol (nonselective); metoprolol, acebutolol, esmolol (beta-1 selective)</w:t>
            </w:r>
          </w:p>
        </w:tc>
        <w:tc>
          <w:tcPr>
            <w:tcW w:type="dxa" w:w="1818"/>
          </w:tcPr>
          <w:p>
            <w:pPr>
              <w:spacing w:after="40"/>
            </w:pPr>
            <w:r>
              <w:rPr>
                <w:sz w:val="18"/>
              </w:rPr>
            </w:r>
            <w:r>
              <w:rPr>
                <w:b w:val="0"/>
                <w:i w:val="0"/>
                <w:sz w:val="18"/>
              </w:rPr>
              <w:t>Beta receptors</w:t>
            </w:r>
          </w:p>
        </w:tc>
        <w:tc>
          <w:tcPr>
            <w:tcW w:type="dxa" w:w="1818"/>
          </w:tcPr>
          <w:p>
            <w:pPr>
              <w:spacing w:after="40"/>
            </w:pPr>
            <w:r>
              <w:rPr>
                <w:sz w:val="18"/>
              </w:rPr>
            </w:r>
            <w:r>
              <w:rPr>
                <w:b/>
                <w:i w:val="0"/>
                <w:sz w:val="18"/>
              </w:rPr>
              <w:t>Flatter phase 4 in pacemaker cells</w:t>
            </w:r>
            <w:r>
              <w:rPr>
                <w:b w:val="0"/>
                <w:i w:val="0"/>
                <w:sz w:val="18"/>
              </w:rPr>
              <w:t>, so the next beat comes later (slide 25 picture)</w:t>
            </w:r>
          </w:p>
        </w:tc>
        <w:tc>
          <w:tcPr>
            <w:tcW w:type="dxa" w:w="1818"/>
          </w:tcPr>
          <w:p>
            <w:pPr>
              <w:spacing w:after="40"/>
            </w:pPr>
            <w:r>
              <w:rPr>
                <w:sz w:val="18"/>
              </w:rPr>
            </w:r>
            <w:r>
              <w:rPr>
                <w:b w:val="0"/>
                <w:i w:val="0"/>
                <w:sz w:val="18"/>
              </w:rPr>
              <w:t>Slow conduction; decrease automaticity; prolong atrioventricular conduction; negative inotropic and chronotropic effects; propranolol is membrane stabilizing</w:t>
            </w:r>
          </w:p>
        </w:tc>
        <w:tc>
          <w:tcPr>
            <w:tcW w:type="dxa" w:w="1818"/>
          </w:tcPr>
          <w:p>
            <w:pPr>
              <w:spacing w:after="40"/>
            </w:pPr>
            <w:r>
              <w:rPr>
                <w:sz w:val="18"/>
              </w:rPr>
            </w:r>
            <w:r>
              <w:rPr>
                <w:b w:val="0"/>
                <w:i w:val="0"/>
                <w:sz w:val="18"/>
              </w:rPr>
              <w:t>Supraventricular arrhythmias; ventricular ectopic beats and myocardial infarction (propranolol); esmolol is the intravenous short-acting agent</w:t>
            </w:r>
          </w:p>
        </w:tc>
        <w:tc>
          <w:tcPr>
            <w:tcW w:type="dxa" w:w="1818"/>
          </w:tcPr>
          <w:p>
            <w:pPr>
              <w:spacing w:after="40"/>
            </w:pPr>
            <w:r>
              <w:rPr>
                <w:sz w:val="18"/>
              </w:rPr>
            </w:r>
            <w:r>
              <w:rPr>
                <w:b w:val="0"/>
                <w:i w:val="0"/>
                <w:sz w:val="18"/>
              </w:rPr>
              <w:t xml:space="preserve">Heart failure, heart block, hypotension, </w:t>
            </w:r>
            <w:r>
              <w:rPr>
                <w:b/>
                <w:i w:val="0"/>
                <w:sz w:val="18"/>
              </w:rPr>
              <w:t>bronchospasm</w:t>
            </w:r>
            <w:r>
              <w:rPr>
                <w:b w:val="0"/>
                <w:i w:val="0"/>
                <w:sz w:val="18"/>
              </w:rPr>
              <w:t xml:space="preserve"> (less with beta-1 selective agents); sedation and fatigue</w:t>
            </w:r>
          </w:p>
        </w:tc>
        <w:tc>
          <w:tcPr>
            <w:tcW w:type="dxa" w:w="1818"/>
          </w:tcPr>
          <w:p>
            <w:pPr>
              <w:spacing w:after="40"/>
            </w:pPr>
            <w:r>
              <w:rPr>
                <w:sz w:val="18"/>
              </w:rPr>
            </w:r>
            <w:r>
              <w:rPr>
                <w:b w:val="0"/>
                <w:i w:val="0"/>
                <w:sz w:val="18"/>
              </w:rPr>
              <w:t>Asthma (use a beta-1 selective agent); digitalis toxicity with digoxin</w:t>
            </w:r>
          </w:p>
        </w:tc>
        <w:tc>
          <w:tcPr>
            <w:tcW w:type="dxa" w:w="1818"/>
          </w:tcPr>
          <w:p>
            <w:pPr>
              <w:spacing w:after="40"/>
            </w:pPr>
            <w:r>
              <w:rPr>
                <w:sz w:val="18"/>
              </w:rPr>
            </w:r>
            <w:r>
              <w:rPr>
                <w:b w:val="0"/>
                <w:i w:val="0"/>
                <w:sz w:val="18"/>
              </w:rPr>
              <w:t>L10</w:t>
            </w:r>
            <w:r>
              <w:rPr>
                <w:sz w:val="18"/>
              </w:rPr>
              <w:br/>
            </w:r>
            <w:r>
              <w:rPr>
                <w:b w:val="0"/>
                <w:i w:val="0"/>
                <w:sz w:val="18"/>
              </w:rPr>
              <w:t>slide 25</w:t>
            </w:r>
            <w:r>
              <w:rPr>
                <w:sz w:val="18"/>
              </w:rPr>
              <w:br/>
            </w:r>
            <w:r>
              <w:rPr>
                <w:b w:val="0"/>
                <w:i w:val="0"/>
                <w:sz w:val="18"/>
              </w:rPr>
              <w:t>slide 26</w:t>
            </w:r>
            <w:r>
              <w:rPr>
                <w:sz w:val="18"/>
              </w:rPr>
              <w:br/>
            </w:r>
            <w:r>
              <w:rPr>
                <w:b w:val="0"/>
                <w:i w:val="0"/>
                <w:sz w:val="18"/>
              </w:rPr>
              <w:t>slide 28</w:t>
            </w:r>
            <w:r>
              <w:rPr>
                <w:sz w:val="18"/>
              </w:rPr>
              <w:br/>
            </w:r>
            <w:r>
              <w:rPr>
                <w:b w:val="0"/>
                <w:i w:val="0"/>
                <w:sz w:val="18"/>
              </w:rPr>
              <w:t>slide 29</w:t>
            </w:r>
          </w:p>
        </w:tc>
      </w:tr>
      <w:tr>
        <w:tc>
          <w:tcPr>
            <w:tcW w:type="dxa" w:w="1818"/>
          </w:tcPr>
          <w:p>
            <w:pPr>
              <w:spacing w:after="40"/>
            </w:pPr>
            <w:r>
              <w:rPr>
                <w:sz w:val="18"/>
              </w:rPr>
            </w:r>
            <w:r>
              <w:rPr>
                <w:b/>
                <w:i w:val="0"/>
                <w:sz w:val="18"/>
              </w:rPr>
              <w:t>Class III</w:t>
            </w:r>
            <w:r>
              <w:rPr>
                <w:sz w:val="18"/>
              </w:rPr>
              <w:br/>
            </w:r>
            <w:r>
              <w:rPr>
                <w:b w:val="0"/>
                <w:i w:val="0"/>
                <w:sz w:val="18"/>
              </w:rPr>
              <w:t>amiodarone, dofetilide, sotalol</w:t>
            </w:r>
          </w:p>
        </w:tc>
        <w:tc>
          <w:tcPr>
            <w:tcW w:type="dxa" w:w="1818"/>
          </w:tcPr>
          <w:p>
            <w:pPr>
              <w:spacing w:after="40"/>
            </w:pPr>
            <w:r>
              <w:rPr>
                <w:sz w:val="18"/>
              </w:rPr>
            </w:r>
            <w:r>
              <w:rPr>
                <w:b w:val="0"/>
                <w:i w:val="0"/>
                <w:sz w:val="18"/>
              </w:rPr>
              <w:t>Potassium channels (reduce potassium efflux); amiodarone also blocks inactivated sodium channels, calcium channels and alpha and beta receptors; sotalol is also a beta blocker</w:t>
            </w:r>
          </w:p>
        </w:tc>
        <w:tc>
          <w:tcPr>
            <w:tcW w:type="dxa" w:w="1818"/>
          </w:tcPr>
          <w:p>
            <w:pPr>
              <w:spacing w:after="40"/>
            </w:pPr>
            <w:r>
              <w:rPr>
                <w:sz w:val="18"/>
              </w:rPr>
            </w:r>
            <w:r>
              <w:rPr>
                <w:b/>
                <w:i w:val="0"/>
                <w:sz w:val="18"/>
              </w:rPr>
              <w:t>Longer action potential: phase 3 repolarization delayed</w:t>
            </w:r>
            <w:r>
              <w:rPr>
                <w:b w:val="0"/>
                <w:i w:val="0"/>
                <w:sz w:val="18"/>
              </w:rPr>
              <w:t>; upstroke unchanged (slide 30 picture)</w:t>
            </w:r>
          </w:p>
        </w:tc>
        <w:tc>
          <w:tcPr>
            <w:tcW w:type="dxa" w:w="1818"/>
          </w:tcPr>
          <w:p>
            <w:pPr>
              <w:spacing w:after="40"/>
            </w:pPr>
            <w:r>
              <w:rPr>
                <w:sz w:val="18"/>
              </w:rPr>
            </w:r>
            <w:r>
              <w:rPr>
                <w:b w:val="0"/>
                <w:i w:val="0"/>
                <w:sz w:val="18"/>
              </w:rPr>
              <w:t>Prolong phase 3 repolarization, the refractory period and the action potential duration</w:t>
            </w:r>
          </w:p>
        </w:tc>
        <w:tc>
          <w:tcPr>
            <w:tcW w:type="dxa" w:w="1818"/>
          </w:tcPr>
          <w:p>
            <w:pPr>
              <w:spacing w:after="40"/>
            </w:pPr>
            <w:r>
              <w:rPr>
                <w:sz w:val="18"/>
              </w:rPr>
            </w:r>
            <w:r>
              <w:rPr>
                <w:b w:val="0"/>
                <w:i w:val="0"/>
                <w:sz w:val="18"/>
              </w:rPr>
              <w:t>Amiodarone: recurrent ventricular tachycardia or fibrillation resistant to other drugs, atrial fibrillation; intravenous for acute ventricular tachycardia or fibrillation. Dofetilide: normal rhythm in atrial fibrillation. Sotalol: atrial flutter and fibrillation, ventricular tachyarrhythmia</w:t>
            </w:r>
          </w:p>
        </w:tc>
        <w:tc>
          <w:tcPr>
            <w:tcW w:type="dxa" w:w="1818"/>
          </w:tcPr>
          <w:p>
            <w:pPr>
              <w:spacing w:after="40"/>
            </w:pPr>
            <w:r>
              <w:rPr>
                <w:sz w:val="18"/>
              </w:rPr>
            </w:r>
            <w:r>
              <w:rPr>
                <w:b w:val="0"/>
                <w:i w:val="0"/>
                <w:sz w:val="18"/>
              </w:rPr>
              <w:t xml:space="preserve">Amiodarone: </w:t>
            </w:r>
            <w:r>
              <w:rPr>
                <w:b/>
                <w:i w:val="0"/>
                <w:sz w:val="18"/>
              </w:rPr>
              <w:t>pulmonary fibrosis</w:t>
            </w:r>
            <w:r>
              <w:rPr>
                <w:b w:val="0"/>
                <w:i w:val="0"/>
                <w:sz w:val="18"/>
              </w:rPr>
              <w:t xml:space="preserve">, thyroid (hyper or hypo), blue-gray skin, corneal deposits, hepatic dysfunction. Dofetilide and sotalol: </w:t>
            </w:r>
            <w:r>
              <w:rPr>
                <w:b/>
                <w:i w:val="0"/>
                <w:sz w:val="18"/>
              </w:rPr>
              <w:t>torsades de pointes</w:t>
            </w:r>
            <w:r>
              <w:rPr>
                <w:b w:val="0"/>
                <w:i w:val="0"/>
                <w:sz w:val="18"/>
              </w:rPr>
              <w:t>; dofetilide marked QT prolongation; sotalol bronchospasm</w:t>
            </w:r>
          </w:p>
        </w:tc>
        <w:tc>
          <w:tcPr>
            <w:tcW w:type="dxa" w:w="1818"/>
          </w:tcPr>
          <w:p>
            <w:pPr>
              <w:spacing w:after="40"/>
            </w:pPr>
            <w:r>
              <w:rPr>
                <w:sz w:val="18"/>
              </w:rPr>
            </w:r>
            <w:r>
              <w:rPr>
                <w:b w:val="0"/>
                <w:i w:val="0"/>
                <w:sz w:val="18"/>
              </w:rPr>
              <w:t>Amiodarone: half-life about 40 days, loading doses; raises digoxin, warfarin, flecainide, phenytoin, procainamide. Dofetilide: special training; renal elimination</w:t>
            </w:r>
          </w:p>
        </w:tc>
        <w:tc>
          <w:tcPr>
            <w:tcW w:type="dxa" w:w="1818"/>
          </w:tcPr>
          <w:p>
            <w:pPr>
              <w:spacing w:after="40"/>
            </w:pPr>
            <w:r>
              <w:rPr>
                <w:sz w:val="18"/>
              </w:rPr>
            </w:r>
            <w:r>
              <w:rPr>
                <w:b w:val="0"/>
                <w:i w:val="0"/>
                <w:sz w:val="18"/>
              </w:rPr>
              <w:t>L10</w:t>
            </w:r>
            <w:r>
              <w:rPr>
                <w:sz w:val="18"/>
              </w:rPr>
              <w:br/>
            </w:r>
            <w:r>
              <w:rPr>
                <w:b w:val="0"/>
                <w:i w:val="0"/>
                <w:sz w:val="18"/>
              </w:rPr>
              <w:t>slide 30</w:t>
            </w:r>
            <w:r>
              <w:rPr>
                <w:sz w:val="18"/>
              </w:rPr>
              <w:br/>
            </w:r>
            <w:r>
              <w:rPr>
                <w:b w:val="0"/>
                <w:i w:val="0"/>
                <w:sz w:val="18"/>
              </w:rPr>
              <w:t>slide 31</w:t>
            </w:r>
            <w:r>
              <w:rPr>
                <w:sz w:val="18"/>
              </w:rPr>
              <w:br/>
            </w:r>
            <w:r>
              <w:rPr>
                <w:b w:val="0"/>
                <w:i w:val="0"/>
                <w:sz w:val="18"/>
              </w:rPr>
              <w:t>slide 32</w:t>
            </w:r>
            <w:r>
              <w:rPr>
                <w:sz w:val="18"/>
              </w:rPr>
              <w:br/>
            </w:r>
            <w:r>
              <w:rPr>
                <w:b w:val="0"/>
                <w:i w:val="0"/>
                <w:sz w:val="18"/>
              </w:rPr>
              <w:t>slide 33</w:t>
            </w:r>
            <w:r>
              <w:rPr>
                <w:sz w:val="18"/>
              </w:rPr>
              <w:br/>
            </w:r>
            <w:r>
              <w:rPr>
                <w:b w:val="0"/>
                <w:i w:val="0"/>
                <w:sz w:val="18"/>
              </w:rPr>
              <w:t>slide 34</w:t>
            </w:r>
            <w:r>
              <w:rPr>
                <w:sz w:val="18"/>
              </w:rPr>
              <w:br/>
            </w:r>
            <w:r>
              <w:rPr>
                <w:b w:val="0"/>
                <w:i w:val="0"/>
                <w:sz w:val="18"/>
              </w:rPr>
              <w:t>slide 35</w:t>
            </w:r>
          </w:p>
        </w:tc>
      </w:tr>
      <w:tr>
        <w:tc>
          <w:tcPr>
            <w:tcW w:type="dxa" w:w="1818"/>
          </w:tcPr>
          <w:p>
            <w:pPr>
              <w:spacing w:after="40"/>
            </w:pPr>
            <w:r>
              <w:rPr>
                <w:sz w:val="18"/>
              </w:rPr>
            </w:r>
            <w:r>
              <w:rPr>
                <w:b/>
                <w:i w:val="0"/>
                <w:sz w:val="18"/>
              </w:rPr>
              <w:t>Class IV</w:t>
            </w:r>
            <w:r>
              <w:rPr>
                <w:sz w:val="18"/>
              </w:rPr>
              <w:br/>
            </w:r>
            <w:r>
              <w:rPr>
                <w:b w:val="0"/>
                <w:i w:val="0"/>
                <w:sz w:val="18"/>
              </w:rPr>
              <w:t>verapamil, diltiazem</w:t>
            </w:r>
          </w:p>
        </w:tc>
        <w:tc>
          <w:tcPr>
            <w:tcW w:type="dxa" w:w="1818"/>
          </w:tcPr>
          <w:p>
            <w:pPr>
              <w:spacing w:after="40"/>
            </w:pPr>
            <w:r>
              <w:rPr>
                <w:sz w:val="18"/>
              </w:rPr>
            </w:r>
            <w:r>
              <w:rPr>
                <w:b w:val="0"/>
                <w:i w:val="0"/>
                <w:sz w:val="18"/>
              </w:rPr>
              <w:t>L-type calcium channel (both activated and inactivated channels; most effective in the most active tissue)</w:t>
            </w:r>
          </w:p>
        </w:tc>
        <w:tc>
          <w:tcPr>
            <w:tcW w:type="dxa" w:w="1818"/>
          </w:tcPr>
          <w:p>
            <w:pPr>
              <w:spacing w:after="40"/>
            </w:pPr>
            <w:r>
              <w:rPr>
                <w:sz w:val="18"/>
              </w:rPr>
            </w:r>
            <w:r>
              <w:rPr>
                <w:b/>
                <w:i w:val="0"/>
                <w:sz w:val="18"/>
              </w:rPr>
              <w:t>Flatter phase 4 in pacemaker cells</w:t>
            </w:r>
            <w:r>
              <w:rPr>
                <w:b w:val="0"/>
                <w:i w:val="0"/>
                <w:sz w:val="18"/>
              </w:rPr>
              <w:t>, as with class II (slide 37 picture)</w:t>
            </w:r>
          </w:p>
        </w:tc>
        <w:tc>
          <w:tcPr>
            <w:tcW w:type="dxa" w:w="1818"/>
          </w:tcPr>
          <w:p>
            <w:pPr>
              <w:spacing w:after="40"/>
            </w:pPr>
            <w:r>
              <w:rPr>
                <w:sz w:val="18"/>
              </w:rPr>
            </w:r>
            <w:r>
              <w:rPr>
                <w:b w:val="0"/>
                <w:i w:val="0"/>
                <w:sz w:val="18"/>
              </w:rPr>
              <w:t>Decrease automaticity; slow atrioventricular node conduction; suppress the sinoatrial node; negative inotropic</w:t>
            </w:r>
          </w:p>
        </w:tc>
        <w:tc>
          <w:tcPr>
            <w:tcW w:type="dxa" w:w="1818"/>
          </w:tcPr>
          <w:p>
            <w:pPr>
              <w:spacing w:after="40"/>
            </w:pPr>
            <w:r>
              <w:rPr>
                <w:sz w:val="18"/>
              </w:rPr>
            </w:r>
            <w:r>
              <w:rPr>
                <w:b w:val="0"/>
                <w:i w:val="0"/>
                <w:sz w:val="18"/>
              </w:rPr>
              <w:t>Paroxysmal supraventricular tachycardia; atrial fibrillation</w:t>
            </w:r>
          </w:p>
        </w:tc>
        <w:tc>
          <w:tcPr>
            <w:tcW w:type="dxa" w:w="1818"/>
          </w:tcPr>
          <w:p>
            <w:pPr>
              <w:spacing w:after="40"/>
            </w:pPr>
            <w:r>
              <w:rPr>
                <w:sz w:val="18"/>
              </w:rPr>
            </w:r>
            <w:r>
              <w:rPr>
                <w:b w:val="0"/>
                <w:i w:val="0"/>
                <w:sz w:val="18"/>
              </w:rPr>
              <w:t>Hypotension, edema</w:t>
            </w:r>
          </w:p>
        </w:tc>
        <w:tc>
          <w:tcPr>
            <w:tcW w:type="dxa" w:w="1818"/>
          </w:tcPr>
          <w:p>
            <w:pPr>
              <w:spacing w:after="40"/>
            </w:pPr>
            <w:r>
              <w:rPr>
                <w:sz w:val="18"/>
              </w:rPr>
            </w:r>
            <w:r>
              <w:rPr>
                <w:b/>
                <w:i w:val="0"/>
                <w:sz w:val="18"/>
              </w:rPr>
              <w:t>Avoid in ventricular arrhythmias, sick sinus syndrome, depressed cardiac function</w:t>
            </w:r>
            <w:r>
              <w:rPr>
                <w:b w:val="0"/>
                <w:i w:val="0"/>
                <w:sz w:val="18"/>
              </w:rPr>
              <w:t>; caution in liver damage</w:t>
            </w:r>
          </w:p>
        </w:tc>
        <w:tc>
          <w:tcPr>
            <w:tcW w:type="dxa" w:w="1818"/>
          </w:tcPr>
          <w:p>
            <w:pPr>
              <w:spacing w:after="40"/>
            </w:pPr>
            <w:r>
              <w:rPr>
                <w:sz w:val="18"/>
              </w:rPr>
            </w:r>
            <w:r>
              <w:rPr>
                <w:b w:val="0"/>
                <w:i w:val="0"/>
                <w:sz w:val="18"/>
              </w:rPr>
              <w:t>L10</w:t>
            </w:r>
            <w:r>
              <w:rPr>
                <w:sz w:val="18"/>
              </w:rPr>
              <w:br/>
            </w:r>
            <w:r>
              <w:rPr>
                <w:b w:val="0"/>
                <w:i w:val="0"/>
                <w:sz w:val="18"/>
              </w:rPr>
              <w:t>slide 37</w:t>
            </w:r>
            <w:r>
              <w:rPr>
                <w:sz w:val="18"/>
              </w:rPr>
              <w:br/>
            </w:r>
            <w:r>
              <w:rPr>
                <w:b w:val="0"/>
                <w:i w:val="0"/>
                <w:sz w:val="18"/>
              </w:rPr>
              <w:t>slide 38</w:t>
            </w:r>
            <w:r>
              <w:rPr>
                <w:sz w:val="18"/>
              </w:rPr>
              <w:br/>
            </w:r>
            <w:r>
              <w:rPr>
                <w:b w:val="0"/>
                <w:i w:val="0"/>
                <w:sz w:val="18"/>
              </w:rPr>
              <w:t>slide 39</w:t>
            </w:r>
          </w:p>
        </w:tc>
      </w:tr>
      <w:tr>
        <w:tc>
          <w:tcPr>
            <w:tcW w:type="dxa" w:w="1818"/>
          </w:tcPr>
          <w:p>
            <w:pPr>
              <w:spacing w:after="40"/>
            </w:pPr>
            <w:r>
              <w:rPr>
                <w:sz w:val="18"/>
              </w:rPr>
            </w:r>
            <w:r>
              <w:rPr>
                <w:b/>
                <w:i w:val="0"/>
                <w:sz w:val="18"/>
              </w:rPr>
              <w:t>Adenosine</w:t>
            </w:r>
            <w:r>
              <w:rPr>
                <w:sz w:val="18"/>
              </w:rPr>
              <w:br/>
            </w:r>
            <w:r>
              <w:rPr>
                <w:b w:val="0"/>
                <w:i w:val="0"/>
                <w:sz w:val="18"/>
              </w:rPr>
              <w:t>miscellaneous</w:t>
            </w:r>
          </w:p>
        </w:tc>
        <w:tc>
          <w:tcPr>
            <w:tcW w:type="dxa" w:w="1818"/>
          </w:tcPr>
          <w:p>
            <w:pPr>
              <w:spacing w:after="40"/>
            </w:pPr>
            <w:r>
              <w:rPr>
                <w:sz w:val="18"/>
              </w:rPr>
            </w:r>
            <w:r>
              <w:rPr>
                <w:b w:val="0"/>
                <w:i w:val="0"/>
                <w:sz w:val="18"/>
              </w:rPr>
              <w:t>Activates potassium channels in the atria and blocks calcium channels</w:t>
            </w:r>
          </w:p>
        </w:tc>
        <w:tc>
          <w:tcPr>
            <w:tcW w:type="dxa" w:w="1818"/>
          </w:tcPr>
          <w:p>
            <w:pPr>
              <w:spacing w:after="40"/>
            </w:pPr>
            <w:r>
              <w:rPr>
                <w:sz w:val="18"/>
              </w:rPr>
            </w:r>
            <w:r>
              <w:rPr>
                <w:b w:val="0"/>
                <w:i w:val="0"/>
                <w:sz w:val="18"/>
              </w:rPr>
              <w:t>Hyperpolarizes cells</w:t>
            </w:r>
          </w:p>
        </w:tc>
        <w:tc>
          <w:tcPr>
            <w:tcW w:type="dxa" w:w="1818"/>
          </w:tcPr>
          <w:p>
            <w:pPr>
              <w:spacing w:after="40"/>
            </w:pPr>
            <w:r>
              <w:rPr>
                <w:sz w:val="18"/>
              </w:rPr>
            </w:r>
            <w:r>
              <w:rPr>
                <w:b w:val="0"/>
                <w:i w:val="0"/>
                <w:sz w:val="18"/>
              </w:rPr>
              <w:t>Decreases conduction velocity (</w:t>
            </w:r>
            <w:r>
              <w:rPr>
                <w:b/>
                <w:i w:val="0"/>
                <w:sz w:val="18"/>
              </w:rPr>
              <w:t>may stop the heart for 2 to 3 seconds</w:t>
            </w:r>
            <w:r>
              <w:rPr>
                <w:b w:val="0"/>
                <w:i w:val="0"/>
                <w:sz w:val="18"/>
              </w:rPr>
              <w:t>); decreases automaticity; prolongs the refractory period; half-life about 10 seconds</w:t>
            </w:r>
          </w:p>
        </w:tc>
        <w:tc>
          <w:tcPr>
            <w:tcW w:type="dxa" w:w="1818"/>
          </w:tcPr>
          <w:p>
            <w:pPr>
              <w:spacing w:after="40"/>
            </w:pPr>
            <w:r>
              <w:rPr>
                <w:sz w:val="18"/>
              </w:rPr>
            </w:r>
            <w:r>
              <w:rPr>
                <w:b/>
                <w:i w:val="0"/>
                <w:sz w:val="18"/>
              </w:rPr>
              <w:t>Paroxysmal supraventricular tachycardia</w:t>
            </w:r>
            <w:r>
              <w:rPr>
                <w:b w:val="0"/>
                <w:i w:val="0"/>
                <w:sz w:val="18"/>
              </w:rPr>
              <w:t xml:space="preserve"> (Wolff-Parkinson-White is also listed)</w:t>
            </w:r>
          </w:p>
        </w:tc>
        <w:tc>
          <w:tcPr>
            <w:tcW w:type="dxa" w:w="1818"/>
          </w:tcPr>
          <w:p>
            <w:pPr>
              <w:spacing w:after="40"/>
            </w:pPr>
            <w:r>
              <w:rPr>
                <w:sz w:val="18"/>
              </w:rPr>
            </w:r>
            <w:r>
              <w:rPr>
                <w:b w:val="0"/>
                <w:i w:val="0"/>
                <w:sz w:val="18"/>
              </w:rPr>
              <w:t>Flushing (20 percent), shortness of breath, burning in the chest</w:t>
            </w:r>
          </w:p>
        </w:tc>
        <w:tc>
          <w:tcPr>
            <w:tcW w:type="dxa" w:w="1818"/>
          </w:tcPr>
          <w:p>
            <w:pPr>
              <w:spacing w:after="40"/>
            </w:pPr>
            <w:r>
              <w:rPr>
                <w:sz w:val="18"/>
              </w:rPr>
            </w:r>
            <w:r>
              <w:rPr>
                <w:b w:val="0"/>
                <w:i w:val="0"/>
                <w:sz w:val="18"/>
              </w:rPr>
              <w:t>—</w:t>
            </w:r>
          </w:p>
        </w:tc>
        <w:tc>
          <w:tcPr>
            <w:tcW w:type="dxa" w:w="1818"/>
          </w:tcPr>
          <w:p>
            <w:pPr>
              <w:spacing w:after="40"/>
            </w:pPr>
            <w:r>
              <w:rPr>
                <w:sz w:val="18"/>
              </w:rPr>
            </w:r>
            <w:r>
              <w:rPr>
                <w:b w:val="0"/>
                <w:i w:val="0"/>
                <w:sz w:val="18"/>
              </w:rPr>
              <w:t>L10</w:t>
            </w:r>
            <w:r>
              <w:rPr>
                <w:sz w:val="18"/>
              </w:rPr>
              <w:br/>
            </w:r>
            <w:r>
              <w:rPr>
                <w:b w:val="0"/>
                <w:i w:val="0"/>
                <w:sz w:val="18"/>
              </w:rPr>
              <w:t>slide 41</w:t>
            </w:r>
            <w:r>
              <w:rPr>
                <w:sz w:val="18"/>
              </w:rPr>
              <w:br/>
            </w:r>
            <w:r>
              <w:rPr>
                <w:b w:val="0"/>
                <w:i w:val="0"/>
                <w:sz w:val="18"/>
              </w:rPr>
              <w:t>slide 42</w:t>
            </w:r>
          </w:p>
        </w:tc>
      </w:tr>
      <w:tr>
        <w:tc>
          <w:tcPr>
            <w:tcW w:type="dxa" w:w="1818"/>
          </w:tcPr>
          <w:p>
            <w:pPr>
              <w:spacing w:after="40"/>
            </w:pPr>
            <w:r>
              <w:rPr>
                <w:sz w:val="18"/>
              </w:rPr>
            </w:r>
            <w:r>
              <w:rPr>
                <w:b/>
                <w:i w:val="0"/>
                <w:sz w:val="18"/>
              </w:rPr>
              <w:t>Digoxin</w:t>
            </w:r>
            <w:r>
              <w:rPr>
                <w:sz w:val="18"/>
              </w:rPr>
              <w:br/>
            </w:r>
            <w:r>
              <w:rPr>
                <w:b w:val="0"/>
                <w:i w:val="0"/>
                <w:sz w:val="18"/>
              </w:rPr>
              <w:t>digitalis; miscellaneous</w:t>
            </w:r>
          </w:p>
        </w:tc>
        <w:tc>
          <w:tcPr>
            <w:tcW w:type="dxa" w:w="1818"/>
          </w:tcPr>
          <w:p>
            <w:pPr>
              <w:spacing w:after="40"/>
            </w:pPr>
            <w:r>
              <w:rPr>
                <w:sz w:val="18"/>
              </w:rPr>
            </w:r>
            <w:r>
              <w:rPr>
                <w:b w:val="0"/>
                <w:i w:val="0"/>
                <w:sz w:val="18"/>
              </w:rPr>
              <w:t>Sodium-potassium ATPase inhibition; also listed: inhibits calcium channels in the atrioventricular node</w:t>
            </w:r>
          </w:p>
        </w:tc>
        <w:tc>
          <w:tcPr>
            <w:tcW w:type="dxa" w:w="1818"/>
          </w:tcPr>
          <w:p>
            <w:pPr>
              <w:spacing w:after="40"/>
            </w:pPr>
            <w:r>
              <w:rPr>
                <w:sz w:val="18"/>
              </w:rPr>
            </w:r>
            <w:r>
              <w:rPr>
                <w:b w:val="0"/>
                <w:i w:val="0"/>
                <w:sz w:val="18"/>
              </w:rPr>
              <w:t>—</w:t>
            </w:r>
          </w:p>
        </w:tc>
        <w:tc>
          <w:tcPr>
            <w:tcW w:type="dxa" w:w="1818"/>
          </w:tcPr>
          <w:p>
            <w:pPr>
              <w:spacing w:after="40"/>
            </w:pPr>
            <w:r>
              <w:rPr>
                <w:sz w:val="18"/>
              </w:rPr>
            </w:r>
            <w:r>
              <w:rPr>
                <w:b w:val="0"/>
                <w:i w:val="0"/>
                <w:sz w:val="18"/>
              </w:rPr>
              <w:t xml:space="preserve">Slows atrioventricular conduction; </w:t>
            </w:r>
            <w:r>
              <w:rPr>
                <w:b/>
                <w:i w:val="0"/>
                <w:sz w:val="18"/>
              </w:rPr>
              <w:t>indirectly increases parasympathetic tone</w:t>
            </w:r>
            <w:r>
              <w:rPr>
                <w:b w:val="0"/>
                <w:i w:val="0"/>
                <w:sz w:val="18"/>
              </w:rPr>
              <w:t xml:space="preserve"> and decreases sympathetic tone; can induce heart block</w:t>
            </w:r>
          </w:p>
        </w:tc>
        <w:tc>
          <w:tcPr>
            <w:tcW w:type="dxa" w:w="1818"/>
          </w:tcPr>
          <w:p>
            <w:pPr>
              <w:spacing w:after="40"/>
            </w:pPr>
            <w:r>
              <w:rPr>
                <w:sz w:val="18"/>
              </w:rPr>
            </w:r>
            <w:r>
              <w:rPr>
                <w:b/>
                <w:i w:val="0"/>
                <w:sz w:val="18"/>
              </w:rPr>
              <w:t>Slow the ventricular rate</w:t>
            </w:r>
            <w:r>
              <w:rPr>
                <w:b w:val="0"/>
                <w:i w:val="0"/>
                <w:sz w:val="18"/>
              </w:rPr>
              <w:t>; induce heart block in atrial flutter and fibrillation</w:t>
            </w:r>
          </w:p>
        </w:tc>
        <w:tc>
          <w:tcPr>
            <w:tcW w:type="dxa" w:w="1818"/>
          </w:tcPr>
          <w:p>
            <w:pPr>
              <w:spacing w:after="40"/>
            </w:pPr>
            <w:r>
              <w:rPr>
                <w:sz w:val="18"/>
              </w:rPr>
            </w:r>
            <w:r>
              <w:rPr>
                <w:b w:val="0"/>
                <w:i w:val="0"/>
                <w:sz w:val="18"/>
              </w:rPr>
              <w:t>Nausea, vomiting, diarrhea, anorexia; confusion, delirium, headache, seizures, visual disturbances</w:t>
            </w:r>
          </w:p>
        </w:tc>
        <w:tc>
          <w:tcPr>
            <w:tcW w:type="dxa" w:w="1818"/>
          </w:tcPr>
          <w:p>
            <w:pPr>
              <w:spacing w:after="40"/>
            </w:pPr>
            <w:r>
              <w:rPr>
                <w:sz w:val="18"/>
              </w:rPr>
            </w:r>
            <w:r>
              <w:rPr>
                <w:b w:val="0"/>
                <w:i w:val="0"/>
                <w:sz w:val="18"/>
              </w:rPr>
              <w:t>Avoid calcium channel blockers and beta blockers with it</w:t>
            </w:r>
          </w:p>
        </w:tc>
        <w:tc>
          <w:tcPr>
            <w:tcW w:type="dxa" w:w="1818"/>
          </w:tcPr>
          <w:p>
            <w:pPr>
              <w:spacing w:after="40"/>
            </w:pPr>
            <w:r>
              <w:rPr>
                <w:sz w:val="18"/>
              </w:rPr>
            </w:r>
            <w:r>
              <w:rPr>
                <w:b w:val="0"/>
                <w:i w:val="0"/>
                <w:sz w:val="18"/>
              </w:rPr>
              <w:t>L10</w:t>
            </w:r>
            <w:r>
              <w:rPr>
                <w:sz w:val="18"/>
              </w:rPr>
              <w:br/>
            </w:r>
            <w:r>
              <w:rPr>
                <w:b w:val="0"/>
                <w:i w:val="0"/>
                <w:sz w:val="18"/>
              </w:rPr>
              <w:t>slide 43</w:t>
            </w:r>
            <w:r>
              <w:rPr>
                <w:sz w:val="18"/>
              </w:rPr>
              <w:br/>
            </w:r>
            <w:r>
              <w:rPr>
                <w:b w:val="0"/>
                <w:i w:val="0"/>
                <w:sz w:val="18"/>
              </w:rPr>
              <w:t>slide 44</w:t>
            </w:r>
          </w:p>
        </w:tc>
      </w:tr>
      <w:tr>
        <w:tc>
          <w:tcPr>
            <w:tcW w:type="dxa" w:w="1818"/>
          </w:tcPr>
          <w:p>
            <w:pPr>
              <w:spacing w:after="40"/>
            </w:pPr>
            <w:r>
              <w:rPr>
                <w:sz w:val="18"/>
              </w:rPr>
            </w:r>
            <w:r>
              <w:rPr>
                <w:b/>
                <w:i w:val="0"/>
                <w:sz w:val="18"/>
              </w:rPr>
              <w:t>Magnesium sulfate</w:t>
            </w:r>
            <w:r>
              <w:rPr>
                <w:sz w:val="18"/>
              </w:rPr>
              <w:br/>
            </w:r>
            <w:r>
              <w:rPr>
                <w:b w:val="0"/>
                <w:i w:val="0"/>
                <w:sz w:val="18"/>
              </w:rPr>
              <w:t>miscellaneous</w:t>
            </w:r>
          </w:p>
        </w:tc>
        <w:tc>
          <w:tcPr>
            <w:tcW w:type="dxa" w:w="1818"/>
          </w:tcPr>
          <w:p>
            <w:pPr>
              <w:spacing w:after="40"/>
            </w:pPr>
            <w:r>
              <w:rPr>
                <w:sz w:val="18"/>
              </w:rPr>
            </w:r>
            <w:r>
              <w:rPr>
                <w:b w:val="0"/>
                <w:i w:val="0"/>
                <w:sz w:val="18"/>
              </w:rPr>
              <w:t>—</w:t>
            </w:r>
          </w:p>
        </w:tc>
        <w:tc>
          <w:tcPr>
            <w:tcW w:type="dxa" w:w="1818"/>
          </w:tcPr>
          <w:p>
            <w:pPr>
              <w:spacing w:after="40"/>
            </w:pPr>
            <w:r>
              <w:rPr>
                <w:sz w:val="18"/>
              </w:rPr>
            </w:r>
            <w:r>
              <w:rPr>
                <w:b w:val="0"/>
                <w:i w:val="0"/>
                <w:sz w:val="18"/>
              </w:rPr>
              <w:t>—</w:t>
            </w:r>
          </w:p>
        </w:tc>
        <w:tc>
          <w:tcPr>
            <w:tcW w:type="dxa" w:w="1818"/>
          </w:tcPr>
          <w:p>
            <w:pPr>
              <w:spacing w:after="40"/>
            </w:pPr>
            <w:r>
              <w:rPr>
                <w:sz w:val="18"/>
              </w:rPr>
            </w:r>
            <w:r>
              <w:rPr>
                <w:b w:val="0"/>
                <w:i w:val="0"/>
                <w:sz w:val="18"/>
              </w:rPr>
              <w:t>—</w:t>
            </w:r>
          </w:p>
        </w:tc>
        <w:tc>
          <w:tcPr>
            <w:tcW w:type="dxa" w:w="1818"/>
          </w:tcPr>
          <w:p>
            <w:pPr>
              <w:spacing w:after="40"/>
            </w:pPr>
            <w:r>
              <w:rPr>
                <w:sz w:val="18"/>
              </w:rPr>
            </w:r>
            <w:r>
              <w:rPr>
                <w:b/>
                <w:i w:val="0"/>
                <w:sz w:val="18"/>
              </w:rPr>
              <w:t>Torsades de pointes</w:t>
            </w:r>
            <w:r>
              <w:rPr>
                <w:b w:val="0"/>
                <w:i w:val="0"/>
                <w:sz w:val="18"/>
              </w:rPr>
              <w:t xml:space="preserve"> (intravenous)</w:t>
            </w:r>
          </w:p>
        </w:tc>
        <w:tc>
          <w:tcPr>
            <w:tcW w:type="dxa" w:w="1818"/>
          </w:tcPr>
          <w:p>
            <w:pPr>
              <w:spacing w:after="40"/>
            </w:pPr>
            <w:r>
              <w:rPr>
                <w:sz w:val="18"/>
              </w:rPr>
            </w:r>
            <w:r>
              <w:rPr>
                <w:b w:val="0"/>
                <w:i w:val="0"/>
                <w:sz w:val="18"/>
              </w:rPr>
              <w:t xml:space="preserve">Bradycardia, flushing, headache, </w:t>
            </w:r>
            <w:r>
              <w:rPr>
                <w:b/>
                <w:i w:val="0"/>
                <w:sz w:val="18"/>
              </w:rPr>
              <w:t>respiratory paralysis</w:t>
            </w:r>
          </w:p>
        </w:tc>
        <w:tc>
          <w:tcPr>
            <w:tcW w:type="dxa" w:w="1818"/>
          </w:tcPr>
          <w:p>
            <w:pPr>
              <w:spacing w:after="40"/>
            </w:pPr>
            <w:r>
              <w:rPr>
                <w:sz w:val="18"/>
              </w:rPr>
            </w:r>
            <w:r>
              <w:rPr>
                <w:b w:val="0"/>
                <w:i w:val="0"/>
                <w:sz w:val="18"/>
              </w:rPr>
              <w:t>—</w:t>
            </w:r>
          </w:p>
        </w:tc>
        <w:tc>
          <w:tcPr>
            <w:tcW w:type="dxa" w:w="1818"/>
          </w:tcPr>
          <w:p>
            <w:pPr>
              <w:spacing w:after="40"/>
            </w:pPr>
            <w:r>
              <w:rPr>
                <w:sz w:val="18"/>
              </w:rPr>
            </w:r>
            <w:r>
              <w:rPr>
                <w:b w:val="0"/>
                <w:i w:val="0"/>
                <w:sz w:val="18"/>
              </w:rPr>
              <w:t>L10</w:t>
            </w:r>
            <w:r>
              <w:rPr>
                <w:sz w:val="18"/>
              </w:rPr>
              <w:br/>
            </w:r>
            <w:r>
              <w:rPr>
                <w:b w:val="0"/>
                <w:i w:val="0"/>
                <w:sz w:val="18"/>
              </w:rPr>
              <w:t>slide 45</w:t>
            </w:r>
          </w:p>
        </w:tc>
      </w:tr>
    </w:tbl>
    <w:p>
      <w:pPr>
        <w:spacing w:after="80"/>
      </w:pPr>
    </w:p>
    <w:p>
      <w:pPr>
        <w:spacing w:after="120"/>
      </w:pPr>
      <w:r>
        <w:rPr>
          <w:b w:val="0"/>
          <w:i w:val="0"/>
        </w:rPr>
        <w:t xml:space="preserve"> Every row is checked against the slide it cites by </w:t>
      </w:r>
      <w:r>
        <w:rPr>
          <w:rFonts w:ascii="Consolas" w:hAnsi="Consolas"/>
          <w:b w:val="0"/>
          <w:i w:val="0"/>
          <w:sz w:val="18"/>
        </w:rPr>
        <w:t>tools/check_pharm_e3.py</w:t>
      </w:r>
      <w:r>
        <w:rPr>
          <w:b w:val="0"/>
          <w:i w:val="0"/>
        </w:rPr>
        <w:t xml:space="preserve"> before this page is written. </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