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Side Effects &amp; Monitoring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68 entries across all three Exam 1 decks, each citing its slide, grouped by the system the effect hits. Companion to the contraindications and indications charts.</w:t>
      </w:r>
    </w:p>
    <w:p>
      <w:pPr>
        <w:spacing w:after="120"/>
      </w:pPr>
      <w:r>
        <w:rPr>
          <w:b w:val="0"/>
          <w:i w:val="0"/>
        </w:rPr>
        <w:t xml:space="preserve">Grouped by the </w:t>
      </w:r>
      <w:r>
        <w:rPr>
          <w:b/>
          <w:i w:val="0"/>
        </w:rPr>
        <w:t>system the effect hits</w:t>
      </w:r>
      <w:r>
        <w:rPr>
          <w:b w:val="0"/>
          <w:i w:val="0"/>
        </w:rPr>
        <w:t>, because that is how a question gives it to you — “a patient on this drug develops ringing in the ears” is an ototoxicity question, not a drug-name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recurring patterns are worth more than any single row.</w:t>
            </w:r>
            <w:r>
              <w:rPr>
                <w:b w:val="0"/>
                <w:i w:val="0"/>
              </w:rPr>
              <w:t xml:space="preserve"> Most common systems here: </w:t>
            </w:r>
            <w:r>
              <w:rPr>
                <w:b/>
                <w:i w:val="0"/>
              </w:rPr>
              <w:t>Neurologic</w:t>
            </w:r>
            <w:r>
              <w:rPr>
                <w:b w:val="0"/>
                <w:i w:val="0"/>
              </w:rPr>
              <w:t xml:space="preserve"> (16), </w:t>
            </w:r>
            <w:r>
              <w:rPr>
                <w:b/>
                <w:i w:val="0"/>
              </w:rPr>
              <w:t>Skin</w:t>
            </w:r>
            <w:r>
              <w:rPr>
                <w:b w:val="0"/>
                <w:i w:val="0"/>
              </w:rPr>
              <w:t xml:space="preserve"> (16), </w:t>
            </w:r>
            <w:r>
              <w:rPr>
                <w:b/>
                <w:i w:val="0"/>
              </w:rPr>
              <w:t>Cardiac</w:t>
            </w:r>
            <w:r>
              <w:rPr>
                <w:b w:val="0"/>
                <w:i w:val="0"/>
              </w:rPr>
              <w:t xml:space="preserve"> (11), </w:t>
            </w:r>
            <w:r>
              <w:rPr>
                <w:b/>
                <w:i w:val="0"/>
              </w:rPr>
              <w:t>Gastrointestinal</w:t>
            </w:r>
            <w:r>
              <w:rPr>
                <w:b w:val="0"/>
                <w:i w:val="0"/>
              </w:rPr>
              <w:t xml:space="preserve"> (10), </w:t>
            </w:r>
            <w:r>
              <w:rPr>
                <w:b/>
                <w:i w:val="0"/>
              </w:rPr>
              <w:t>Renal</w:t>
            </w:r>
            <w:r>
              <w:rPr>
                <w:b w:val="0"/>
                <w:i w:val="0"/>
              </w:rPr>
              <w:t xml:space="preserve"> (8), </w:t>
            </w:r>
            <w:r>
              <w:rPr>
                <w:b/>
                <w:i w:val="0"/>
              </w:rPr>
              <w:t>Hepatic</w:t>
            </w:r>
            <w:r>
              <w:rPr>
                <w:b w:val="0"/>
                <w:i w:val="0"/>
              </w:rPr>
              <w:t xml:space="preserve"> (5). Four patterns repeat across unrelated classes and are the ones most likely to be asked: </w:t>
            </w:r>
            <w:r>
              <w:rPr>
                <w:b/>
                <w:i w:val="0"/>
              </w:rPr>
              <w:t>QT prolongation and Torsades</w:t>
            </w:r>
            <w:r>
              <w:rPr>
                <w:b w:val="0"/>
                <w:i w:val="0"/>
              </w:rPr>
              <w:t xml:space="preserve"> (macrolides, fluoroquinolones, posaconazole), </w:t>
            </w:r>
            <w:r>
              <w:rPr>
                <w:b/>
                <w:i w:val="0"/>
              </w:rPr>
              <w:t>ototoxicity plus nephrotoxicity</w:t>
            </w:r>
            <w:r>
              <w:rPr>
                <w:b w:val="0"/>
                <w:i w:val="0"/>
              </w:rPr>
              <w:t xml:space="preserve"> (vancomycin, aminoglycosides), </w:t>
            </w:r>
            <w:r>
              <w:rPr>
                <w:b/>
                <w:i w:val="0"/>
              </w:rPr>
              <w:t>Stevens-Johnson and toxic epidermal necrolysis</w:t>
            </w:r>
            <w:r>
              <w:rPr>
                <w:b w:val="0"/>
                <w:i w:val="0"/>
              </w:rPr>
              <w:t xml:space="preserve"> (aminopenicillins, Bactrim, benzimidazoles), and </w:t>
            </w:r>
            <w:r>
              <w:rPr>
                <w:b/>
                <w:i w:val="0"/>
              </w:rPr>
              <w:t>hypokalemia with hypomagnesemia</w:t>
            </w:r>
            <w:r>
              <w:rPr>
                <w:b w:val="0"/>
                <w:i w:val="0"/>
              </w:rPr>
              <w:t xml:space="preserve"> (amphotericin, posaconazole, echinocandins).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ampicillin, amoxicillin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dysfunction, hepatitis, jaundice</w:t>
            </w:r>
            <w:r>
              <w:rPr>
                <w:b w:val="0"/>
                <w:i w:val="0"/>
                <w:sz w:val="18"/>
              </w:rPr>
              <w:t xml:space="preserve"> with raised AST, ALT, bilirubin and alkaline phosphatase.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 xml:space="preserve"> infection.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Interstitial nephritis, hematuria, crystalluria.</w:t>
            </w:r>
            <w:r>
              <w:rPr>
                <w:b w:val="0"/>
                <w:i w:val="0"/>
                <w:sz w:val="18"/>
              </w:rPr>
              <w:t xml:space="preserve"> Anemia and thrombocytopenia.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enzymes and bilirubin</w:t>
            </w:r>
            <w:r>
              <w:rPr>
                <w:b w:val="0"/>
                <w:i w:val="0"/>
                <w:sz w:val="18"/>
              </w:rPr>
              <w:t>; watch for rash progressing to blistering.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Multi-system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>, rash and 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renal and hepatic function and platelets</w:t>
            </w:r>
            <w:r>
              <w:rPr>
                <w:b w:val="0"/>
                <w:i w:val="0"/>
                <w:sz w:val="18"/>
              </w:rPr>
              <w:t>; dosing frequency drops with renal impairment.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Piperacillin/tazobactam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>, rash and 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signs and symptoms of anaphylaxis</w:t>
            </w:r>
            <w:r>
              <w:rPr>
                <w:b w:val="0"/>
                <w:i w:val="0"/>
                <w:sz w:val="18"/>
              </w:rPr>
              <w:t>, renal function and full blood count.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Monitored for </w:t>
            </w:r>
            <w:r>
              <w:rPr>
                <w:b/>
                <w:i w:val="0"/>
                <w:sz w:val="18"/>
              </w:rPr>
              <w:t>hepatic</w:t>
            </w:r>
            <w:r>
              <w:rPr>
                <w:b w:val="0"/>
                <w:i w:val="0"/>
                <w:sz w:val="18"/>
              </w:rPr>
              <w:t xml:space="preserve"> rather than renal toxicity — the exception in the beta-lactams.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hepatic function and full blood count</w:t>
            </w:r>
            <w:r>
              <w:rPr>
                <w:b w:val="0"/>
                <w:i w:val="0"/>
                <w:sz w:val="18"/>
              </w:rPr>
              <w:t xml:space="preserve">, plus signs and symptoms of anaphylaxis. </w:t>
            </w:r>
            <w:r>
              <w:rPr>
                <w:b/>
                <w:i w:val="0"/>
                <w:sz w:val="18"/>
              </w:rPr>
              <w:t>Dosing considerations are hepatic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function and signs or symptoms of anaphylaxis</w:t>
            </w:r>
            <w:r>
              <w:rPr>
                <w:b w:val="0"/>
                <w:i w:val="0"/>
                <w:sz w:val="18"/>
              </w:rPr>
              <w:t xml:space="preserve">; dosing consideration is </w:t>
            </w:r>
            <w:r>
              <w:rPr>
                <w:b/>
                <w:i w:val="0"/>
                <w:sz w:val="18"/>
              </w:rPr>
              <w:t>renal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Cephalosporins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of </w:t>
            </w:r>
            <w:r>
              <w:rPr>
                <w:b/>
                <w:i w:val="0"/>
                <w:sz w:val="18"/>
              </w:rPr>
              <w:t>allergic reaction</w:t>
            </w:r>
            <w:r>
              <w:rPr>
                <w:b w:val="0"/>
                <w:i w:val="0"/>
                <w:sz w:val="18"/>
              </w:rPr>
              <w:t>; nausea, vomiting and 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 is approximately less than 1%.</w:t>
            </w:r>
            <w:r>
              <w:rPr>
                <w:b w:val="0"/>
                <w:i w:val="0"/>
                <w:sz w:val="18"/>
              </w:rPr>
              <w:t xml:space="preserve"> Mostly renally eliminated.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 especially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SEIZURES — specifically with imipenem.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renal and hepatic 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full blood count for bleeding</w:t>
            </w:r>
            <w:r>
              <w:rPr>
                <w:b w:val="0"/>
                <w:i w:val="0"/>
                <w:sz w:val="18"/>
              </w:rPr>
              <w:t>, and signs of anaphylaxis.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 as an infusion reaction, with </w:t>
            </w:r>
            <w:r>
              <w:rPr>
                <w:b/>
                <w:i w:val="0"/>
                <w:sz w:val="18"/>
              </w:rPr>
              <w:t>fever, chills and phlebitis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Ototoxicity and nephrotoxicity.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Requires </w:t>
            </w:r>
            <w:r>
              <w:rPr>
                <w:b/>
                <w:i w:val="0"/>
                <w:sz w:val="18"/>
              </w:rPr>
              <w:t>therapeutic drug monitoring</w:t>
            </w:r>
            <w:r>
              <w:rPr>
                <w:b w:val="0"/>
                <w:i w:val="0"/>
                <w:sz w:val="18"/>
              </w:rPr>
              <w:t xml:space="preserve">. Trough drawn </w:t>
            </w:r>
            <w:r>
              <w:rPr>
                <w:b/>
                <w:i w:val="0"/>
                <w:sz w:val="18"/>
              </w:rPr>
              <w:t>15–30 minutes before the next dose</w:t>
            </w:r>
            <w:r>
              <w:rPr>
                <w:b w:val="0"/>
                <w:i w:val="0"/>
                <w:sz w:val="18"/>
              </w:rPr>
              <w:t xml:space="preserve">, around the </w:t>
            </w:r>
            <w:r>
              <w:rPr>
                <w:b/>
                <w:i w:val="0"/>
                <w:sz w:val="18"/>
              </w:rPr>
              <w:t>3rd or 4th dose</w:t>
            </w:r>
            <w:r>
              <w:rPr>
                <w:b w:val="0"/>
                <w:i w:val="0"/>
                <w:sz w:val="18"/>
              </w:rPr>
              <w:t>. Random levels in unstable or severe renal impairment.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 / Renal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diarrhea, abdominal pain — more with erythromycin and especially in children and young adults</w:t>
            </w:r>
            <w:r>
              <w:rPr>
                <w:b w:val="0"/>
                <w:i w:val="0"/>
                <w:sz w:val="18"/>
              </w:rPr>
              <w:t xml:space="preserve">, because it stimulates motility. </w:t>
            </w:r>
            <w:r>
              <w:rPr>
                <w:b/>
                <w:i w:val="0"/>
                <w:sz w:val="18"/>
              </w:rPr>
              <w:t>Cholestatic hepatitis</w:t>
            </w:r>
            <w:r>
              <w:rPr>
                <w:b w:val="0"/>
                <w:i w:val="0"/>
                <w:sz w:val="18"/>
              </w:rPr>
              <w:t xml:space="preserve"> (rare, more with estolate). </w:t>
            </w:r>
            <w:r>
              <w:rPr>
                <w:b/>
                <w:i w:val="0"/>
                <w:sz w:val="18"/>
              </w:rPr>
              <w:t>Transient hearing loss</w:t>
            </w:r>
            <w:r>
              <w:rPr>
                <w:b w:val="0"/>
                <w:i w:val="0"/>
                <w:sz w:val="18"/>
              </w:rPr>
              <w:t xml:space="preserve"> with large intravenous doses or renal insufficiency. </w:t>
            </w:r>
            <w:r>
              <w:rPr>
                <w:b/>
                <w:i w:val="0"/>
                <w:sz w:val="18"/>
              </w:rPr>
              <w:t>QT prolongation and Torsades de pointes.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Worse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electrolyte abnormalities</w:t>
            </w:r>
            <w:r>
              <w:rPr>
                <w:b w:val="0"/>
                <w:i w:val="0"/>
                <w:sz w:val="18"/>
              </w:rPr>
              <w:t>. Check the ECG (electrocardiogram) risk before adding.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doxycycline, minocycline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Discoloration of teeth — doxycycline more than the others.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Depression of skeletal growth.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renally dose adjusted.</w:t>
            </w:r>
            <w:r>
              <w:rPr>
                <w:b w:val="0"/>
                <w:i w:val="0"/>
                <w:sz w:val="18"/>
              </w:rPr>
              <w:t xml:space="preserve"> Counsel on sun protection and on separating doses from iron, calcium and dairy.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Teeth / Bone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Tigecycline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Tygacil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Vomiting, nausea, diarrhea and fever.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Dosing consideration is </w:t>
            </w:r>
            <w:r>
              <w:rPr>
                <w:b/>
                <w:i w:val="0"/>
                <w:sz w:val="18"/>
              </w:rPr>
              <w:t>hepatic dysfunction</w:t>
            </w:r>
            <w:r>
              <w:rPr>
                <w:b w:val="0"/>
                <w:i w:val="0"/>
                <w:sz w:val="18"/>
              </w:rPr>
              <w:t>, not renal — the opposite of most of this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toxicity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ototoxicity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Renally adjusted</w:t>
            </w:r>
            <w:r>
              <w:rPr>
                <w:b w:val="0"/>
                <w:i w:val="0"/>
                <w:sz w:val="18"/>
              </w:rPr>
              <w:t xml:space="preserve">, and requires therapeutic drug monitoring: </w:t>
            </w:r>
            <w:r>
              <w:rPr>
                <w:b/>
                <w:i w:val="0"/>
                <w:sz w:val="18"/>
              </w:rPr>
              <w:t>peaks 30 minutes after the end of the infusion, troughs 15–30 minutes before the next dose</w:t>
            </w:r>
            <w:r>
              <w:rPr>
                <w:b w:val="0"/>
                <w:i w:val="0"/>
                <w:sz w:val="18"/>
              </w:rPr>
              <w:t>, around the 3rd or 4th 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Thrombocytopenia.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SSRIs, tyramine-containing foods and pseudoephedrine.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Check the medication list for serotonergic agents before starting; watch the </w:t>
            </w:r>
            <w:r>
              <w:rPr>
                <w:b/>
                <w:i w:val="0"/>
                <w:sz w:val="18"/>
              </w:rPr>
              <w:t>platelet count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Peripheral neuropathies.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toxicity — dizziness, insomnia, somnolence.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Caution under 18 years.</w:t>
            </w:r>
            <w:r>
              <w:rPr>
                <w:b w:val="0"/>
                <w:i w:val="0"/>
                <w:sz w:val="18"/>
              </w:rPr>
              <w:t xml:space="preserve"> Inhibits </w:t>
            </w:r>
            <w:r>
              <w:rPr>
                <w:b/>
                <w:i w:val="0"/>
                <w:sz w:val="18"/>
              </w:rPr>
              <w:t>CYP1A2</w:t>
            </w:r>
            <w:r>
              <w:rPr>
                <w:b w:val="0"/>
                <w:i w:val="0"/>
                <w:sz w:val="18"/>
              </w:rPr>
              <w:t>; complexes with cations; renally eliminated.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Musculoskeletal / 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Clostridium difficile</w:t>
            </w:r>
            <w:r>
              <w:rPr>
                <w:b/>
                <w:i w:val="0"/>
                <w:sz w:val="18"/>
              </w:rPr>
              <w:t xml:space="preserve"> and pseudomembranous colitis</w:t>
            </w:r>
            <w:r>
              <w:rPr>
                <w:b w:val="0"/>
                <w:i w:val="0"/>
                <w:sz w:val="18"/>
              </w:rPr>
              <w:t xml:space="preserve"> — the reaction this drug is known for. Also </w:t>
            </w:r>
            <w:r>
              <w:rPr>
                <w:b/>
                <w:i w:val="0"/>
                <w:sz w:val="18"/>
              </w:rPr>
              <w:t>rash, neutropenia and 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New diarrhea on clindamycin is </w:t>
            </w:r>
            <w:r>
              <w:rPr>
                <w:b w:val="0"/>
                <w:i/>
                <w:sz w:val="18"/>
              </w:rPr>
              <w:t>C. difficile</w:t>
            </w:r>
            <w:r>
              <w:rPr>
                <w:b w:val="0"/>
                <w:i w:val="0"/>
                <w:sz w:val="18"/>
              </w:rPr>
              <w:t xml:space="preserve"> until proven otherwise.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Trimethoprim/sulfamethoxazole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— rash, Stevens-Johnson syndrome, toxic epidermal necrolysis.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Blood dyscrasias — thrombocytopenia, agranulocytosis, megaloblastic anemia.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Hepatotoxicity and hyperbilirubinemia.</w:t>
            </w:r>
            <w:r>
              <w:rPr>
                <w:b w:val="0"/>
                <w:i w:val="0"/>
                <w:sz w:val="18"/>
              </w:rPr>
              <w:t xml:space="preserve"> Nausea, vomiting, diarrhea, anorexia.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Interactions matter as much as the toxicity: raises </w:t>
            </w:r>
            <w:r>
              <w:rPr>
                <w:b/>
                <w:i w:val="0"/>
                <w:sz w:val="18"/>
              </w:rPr>
              <w:t>phenytoin, rifampin, digoxin</w:t>
            </w:r>
            <w:r>
              <w:rPr>
                <w:b w:val="0"/>
                <w:i w:val="0"/>
                <w:sz w:val="18"/>
              </w:rPr>
              <w:t xml:space="preserve">; reduces renal clearance of </w:t>
            </w:r>
            <w:r>
              <w:rPr>
                <w:b/>
                <w:i w:val="0"/>
                <w:sz w:val="18"/>
              </w:rPr>
              <w:t>methotrexate (pancytopenia)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hypoglycemia with sulfonylureas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significantly increases INR (international normalized ratio) with warfarin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Hematologic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Headache, nausea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alcohol counseling is the whole of the patient education for this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BLACK BOX WARNINGS for nephrotoxicity, neurotoxicity and neuromuscular blockade.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Three black boxes on one slide — the most heavily warned agent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and chills</w:t>
            </w:r>
            <w:r>
              <w:rPr>
                <w:b w:val="0"/>
                <w:i w:val="0"/>
                <w:sz w:val="18"/>
              </w:rPr>
              <w:t xml:space="preserve"> from interleukin-1 and tumor necrosis factor. </w:t>
            </w:r>
            <w:r>
              <w:rPr>
                <w:b/>
                <w:i w:val="0"/>
                <w:sz w:val="18"/>
              </w:rPr>
              <w:t>Side effects limit treatment.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Pre-treat with paracetamol, antihistamines and corticosteroids.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Electrolyte abnormalities — hypokalemia and hypomagnesemia.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Hypotension.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Uremia in 80% with decreased filtration.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Renal tubule damage.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Hydrate with normal saline</w:t>
            </w:r>
            <w:r>
              <w:rPr>
                <w:b w:val="0"/>
                <w:i w:val="0"/>
                <w:sz w:val="18"/>
              </w:rPr>
              <w:t xml:space="preserve"> for the renal tubule damage. Lipid formulations cost 20–50 times more but have </w:t>
            </w:r>
            <w:r>
              <w:rPr>
                <w:b/>
                <w:i w:val="0"/>
                <w:sz w:val="18"/>
              </w:rPr>
              <w:t>reduced 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Ancobon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Bone marrow suppression.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Hepatotoxicity.</w:t>
            </w:r>
            <w:r>
              <w:rPr>
                <w:b w:val="0"/>
                <w:i w:val="0"/>
                <w:sz w:val="18"/>
              </w:rPr>
              <w:t xml:space="preserve"> Gastrointestinal disturbance and rash.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Available orally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 and anorexia.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CYP3A4 — significant drug interactions</w:t>
            </w:r>
            <w:r>
              <w:rPr>
                <w:b w:val="0"/>
                <w:i w:val="0"/>
                <w:sz w:val="18"/>
              </w:rPr>
              <w:t>, which is a large part of why it is now rarely used.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  <w:r>
              <w:rPr>
                <w:b w:val="0"/>
                <w:i w:val="0"/>
                <w:sz w:val="18"/>
              </w:rPr>
              <w:t xml:space="preserve">, fever, diarrhea, </w:t>
            </w:r>
            <w:r>
              <w:rPr>
                <w:b/>
                <w:i w:val="0"/>
                <w:sz w:val="18"/>
              </w:rPr>
              <w:t>hypokalemia, hypomagnesemia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electrolyte pattern as amphotericin — check potassium and magnesium.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Effects on vision in 30%</w:t>
            </w:r>
            <w:r>
              <w:rPr>
                <w:b w:val="0"/>
                <w:i w:val="0"/>
                <w:sz w:val="18"/>
              </w:rPr>
              <w:t xml:space="preserve">, plus liver and renal effects. </w:t>
            </w:r>
            <w:r>
              <w:rPr>
                <w:b/>
                <w:i w:val="0"/>
                <w:sz w:val="18"/>
              </w:rPr>
              <w:t>Teratogenic in animals.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intravenous vehicle cyclodextrin accumulates in renal failure</w:t>
            </w:r>
            <w:r>
              <w:rPr>
                <w:b w:val="0"/>
                <w:i w:val="0"/>
                <w:sz w:val="18"/>
              </w:rPr>
              <w:t xml:space="preserve"> — a reason to switch to oral.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Hepatic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Tachycardia, headache, insomnia, hypokalemia, hypomagnesemia and blood dyscrasias.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best-tolerated systemic antifungal class in the deck.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 in 15%</w:t>
            </w:r>
            <w:r>
              <w:rPr>
                <w:b w:val="0"/>
                <w:i w:val="0"/>
                <w:sz w:val="18"/>
              </w:rPr>
              <w:t xml:space="preserve">, mental confusion, fatigue and </w:t>
            </w:r>
            <w:r>
              <w:rPr>
                <w:b/>
                <w:i w:val="0"/>
                <w:sz w:val="18"/>
              </w:rPr>
              <w:t>blurred vision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CYP1A2 and CYP2C9</w:t>
            </w:r>
            <w:r>
              <w:rPr>
                <w:b w:val="0"/>
                <w:i w:val="0"/>
                <w:sz w:val="18"/>
              </w:rPr>
              <w:t xml:space="preserve"> — an inducer, where most antifungals here are inhibitors.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Nausea, vomiting, rash. </w:t>
            </w:r>
            <w:r>
              <w:rPr>
                <w:b/>
                <w:i w:val="0"/>
                <w:sz w:val="18"/>
              </w:rPr>
              <w:t>Central nervous system — seizures, delirium, tremor.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Bone marrow suppression.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Crystallizes in the renal tubule.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Maintain hydration and renal function</w:t>
            </w:r>
            <w:r>
              <w:rPr>
                <w:b w:val="0"/>
                <w:i w:val="0"/>
                <w:sz w:val="18"/>
              </w:rPr>
              <w:t xml:space="preserve"> — the counseling point that prevents the renal injury.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Neutropenia in 15–40%.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Thrombocytopenia.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in 5–15% — confusion, ataxia, seizures, coma.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33% of patients must stop intravenous treatment because of side effects</w:t>
            </w:r>
            <w:r>
              <w:rPr>
                <w:b w:val="0"/>
                <w:i w:val="0"/>
                <w:sz w:val="18"/>
              </w:rPr>
              <w:t xml:space="preserve"> — the highest discontinuation rate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Penciclovir, famciclovir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Denavir, Famvir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Actions and toxicity similar to acyclovir</w:t>
            </w:r>
            <w:r>
              <w:rPr>
                <w:b w:val="0"/>
                <w:i w:val="0"/>
                <w:sz w:val="18"/>
              </w:rPr>
              <w:t xml:space="preserve"> — the deck does not list a separate profile.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Bioavailability differs sharply: </w:t>
            </w:r>
            <w:r>
              <w:rPr>
                <w:b/>
                <w:i w:val="0"/>
                <w:sz w:val="18"/>
              </w:rPr>
              <w:t>penciclovir 5% (intravenous), famciclovir 77% (oral prodrug)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Very well tolerated</w:t>
            </w:r>
            <w:r>
              <w:rPr>
                <w:b w:val="0"/>
                <w:i w:val="0"/>
                <w:sz w:val="18"/>
              </w:rPr>
              <w:t xml:space="preserve"> — gastrointestinal upset, hypersensitivity, and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Stevens-Johnson and toxic epidermal necrolysis note is the only serious entry for an otherwise benign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Pyrantel pamoate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Pin-X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Dizziness, headache and gastrointestinal upset.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Acts as a depolarizing neuromuscular blocker on the parasite — paralysis and death.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116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Bleaches hair, clothes.</w:t>
            </w:r>
            <w:r>
              <w:rPr>
                <w:b w:val="0"/>
                <w:i w:val="0"/>
                <w:sz w:val="18"/>
              </w:rPr>
              <w:t xml:space="preserve"> Skin and mucous membrane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 at </w:t>
            </w:r>
            <w:r>
              <w:rPr>
                <w:b/>
                <w:i w:val="0"/>
                <w:sz w:val="18"/>
              </w:rPr>
              <w:t>2.5% once daily</w:t>
            </w:r>
            <w:r>
              <w:rPr>
                <w:b w:val="0"/>
                <w:i w:val="0"/>
                <w:sz w:val="18"/>
              </w:rPr>
              <w:t xml:space="preserve"> and build up as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Azelaic acid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Azelex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skin irritation and dryness.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Hypopigmentation.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Improves over 6 to 8 weeks with continuous therapy</w:t>
            </w:r>
            <w:r>
              <w:rPr>
                <w:b w:val="0"/>
                <w:i w:val="0"/>
                <w:sz w:val="18"/>
              </w:rPr>
              <w:t xml:space="preserve"> — tell the patient not to quit at week two.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Erythema, desquamation, burning and stinging</w:t>
            </w:r>
            <w:r>
              <w:rPr>
                <w:b w:val="0"/>
                <w:i w:val="0"/>
                <w:sz w:val="18"/>
              </w:rPr>
              <w:t xml:space="preserve"> — these </w:t>
            </w:r>
            <w:r>
              <w:rPr>
                <w:b/>
                <w:i w:val="0"/>
                <w:sz w:val="18"/>
              </w:rPr>
              <w:t>decrease with time and with the use of emollients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Photosensitivity and severe sunburn.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Warning them the irritation settles is what keeps them on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Retinoid dermatitis — erythema, pruritus, scaling.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Photophobia.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Arthralgia, headaches, alopecia, brittle nails.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Increased serum lipids.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— the one that changes management.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Multi-system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Local: skin atrophy, acne, rosacea, allergic dermatitis</w:t>
            </w:r>
            <w:r>
              <w:rPr>
                <w:b w:val="0"/>
                <w:i w:val="0"/>
                <w:sz w:val="18"/>
              </w:rPr>
              <w:t xml:space="preserve"> (the last related to the vehicle). </w:t>
            </w:r>
            <w:r>
              <w:rPr>
                <w:b/>
                <w:i w:val="0"/>
                <w:sz w:val="18"/>
              </w:rPr>
              <w:t>Systemic: adrenal suppression, infections, hyperglycemia, glaucoma, cataracts, and growth retardation in children.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Risk scales with </w:t>
            </w:r>
            <w:r>
              <w:rPr>
                <w:b/>
                <w:i w:val="0"/>
                <w:sz w:val="18"/>
              </w:rPr>
              <w:t>potency, duration, area covered and occlusiveness — 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Endocrine / 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Burning sensation.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Possible cancer risk.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a high-SPF (sun protection factor) sunscreen.</w:t>
            </w:r>
            <w:r>
              <w:rPr>
                <w:b w:val="0"/>
                <w:i w:val="0"/>
                <w:sz w:val="18"/>
              </w:rPr>
              <w:t xml:space="preserve"> Avoid in immunosuppressed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clotrimazole, miconazole, sertaconazole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Treatment is prolonged, </w:t>
            </w:r>
            <w:r>
              <w:rPr>
                <w:b/>
                <w:i w:val="0"/>
                <w:sz w:val="18"/>
              </w:rPr>
              <w:t>2 to 3 weeks</w:t>
            </w:r>
            <w:r>
              <w:rPr>
                <w:b w:val="0"/>
                <w:i w:val="0"/>
                <w:sz w:val="18"/>
              </w:rPr>
              <w:t xml:space="preserve"> — the irritation has to be tolerable for that long.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allylamines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naftifine, terbinafine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</w:t>
            </w:r>
            <w:r>
              <w:rPr>
                <w:b w:val="0"/>
                <w:i w:val="0"/>
                <w:sz w:val="18"/>
              </w:rPr>
              <w:t xml:space="preserve"> — the only adverse reaction the deck records for the topical form.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systemic contraindication is given for this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acyclovir, penciclovir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Used for recurrent orolabial herpes simplex.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Bacitracin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dermatitis, rarely.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systemic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safest topical antibiotic on the slide — a useful contrast with neomycin.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Frequently causes sensitization.</w:t>
            </w:r>
            <w:r>
              <w:rPr>
                <w:b w:val="0"/>
                <w:i w:val="0"/>
                <w:sz w:val="18"/>
              </w:rPr>
              <w:t xml:space="preserve"> Can have </w:t>
            </w:r>
            <w:r>
              <w:rPr>
                <w:b/>
                <w:i w:val="0"/>
                <w:sz w:val="18"/>
              </w:rPr>
              <w:t>systemic accumulation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is why a patient using triple antibiotic ointment can develop a contact dermatitis over the wound.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reactions are </w:t>
            </w:r>
            <w:r>
              <w:rPr>
                <w:b/>
                <w:i w:val="0"/>
                <w:sz w:val="18"/>
              </w:rPr>
              <w:t>uncommon</w:t>
            </w:r>
            <w:r>
              <w:rPr>
                <w:b w:val="0"/>
                <w:i w:val="0"/>
                <w:sz w:val="18"/>
              </w:rPr>
              <w:t xml:space="preserve">, but high doses on </w:t>
            </w:r>
            <w:r>
              <w:rPr>
                <w:b/>
                <w:i w:val="0"/>
                <w:sz w:val="18"/>
              </w:rPr>
              <w:t>open wounds or denuded skin</w:t>
            </w:r>
            <w:r>
              <w:rPr>
                <w:b w:val="0"/>
                <w:i w:val="0"/>
                <w:sz w:val="18"/>
              </w:rPr>
              <w:t xml:space="preserve"> risk </w:t>
            </w:r>
            <w:r>
              <w:rPr>
                <w:b/>
                <w:i w:val="0"/>
                <w:sz w:val="18"/>
              </w:rPr>
              <w:t>neurotoxicity and nephrotoxicity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intact-skin restriction is the point.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Imiquimod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Aldara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Skin irritation in virtually all patients</w:t>
            </w:r>
            <w:r>
              <w:rPr>
                <w:b w:val="0"/>
                <w:i w:val="0"/>
                <w:sz w:val="18"/>
              </w:rPr>
              <w:t xml:space="preserve"> — edema, vesicles, erosions, ulcers.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degree of inflammation parallels efficacy</w:t>
            </w:r>
            <w:r>
              <w:rPr>
                <w:b w:val="0"/>
                <w:i w:val="0"/>
                <w:sz w:val="18"/>
              </w:rPr>
              <w:t>, so the reaction is a sign it is working. Say so before they stop using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Bethanechol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Urecholine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Sweating, salivation, flushing, decreased blood pressure, nausea, abdominal pain, diarrhea and bronchospasm.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is the muscarinic excess pattern — it recurs for every cholinergic agonist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Convulsions at high doses.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Bradycardia and decreased cardiac output.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Paralysis of skeletal muscle</w:t>
            </w:r>
            <w:r>
              <w:rPr>
                <w:b w:val="0"/>
                <w:i w:val="0"/>
                <w:sz w:val="18"/>
              </w:rPr>
              <w:t xml:space="preserve"> from acetylcholine accumulation.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one in the class with convulsions listed — it is the one that enters the central nervous system.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Neostigmine, pyridostigmine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Salivation, flushing, decreased blood pressure, nausea, abdominal pain, diarrhea, bronchospasm.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Identical profile for both agents — the deck repeats the list verbatim.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Donepezil, rivastigmine, galantamine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distress.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limiting side effect of the Alzheimer agents.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Organophosphates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AChE inhibitor toxicity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Toxicity shows as </w:t>
            </w:r>
            <w:r>
              <w:rPr>
                <w:b/>
                <w:i w:val="0"/>
                <w:sz w:val="18"/>
              </w:rPr>
              <w:t>nicotinic OR muscarinic signs and symptoms</w:t>
            </w:r>
            <w:r>
              <w:rPr>
                <w:b w:val="0"/>
                <w:i w:val="0"/>
                <w:sz w:val="18"/>
              </w:rPr>
              <w:t xml:space="preserve">. These agents are </w:t>
            </w:r>
            <w:r>
              <w:rPr>
                <w:b/>
                <w:i w:val="0"/>
                <w:sz w:val="18"/>
              </w:rPr>
              <w:t>commonly used as agricultural insecticides</w:t>
            </w:r>
            <w:r>
              <w:rPr>
                <w:b w:val="0"/>
                <w:i w:val="0"/>
                <w:sz w:val="18"/>
              </w:rPr>
              <w:t>, and also for suicidal or homicidal purposes.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Pralidoxime (Protopam) reactivates inhibited acetylcholinesterase</w:t>
            </w:r>
            <w:r>
              <w:rPr>
                <w:b w:val="0"/>
                <w:i w:val="0"/>
                <w:sz w:val="18"/>
              </w:rPr>
              <w:t xml:space="preserve"> — but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mouth, blurred vision, “sandy eyes”.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Bradycardia at lower doses, tachycardia at higher doses.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Urinary retention and constipation.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— restlessness, confusion, hallucinations, delirium.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dose-dependent heart rate reversal is the trap: low dose slows, high dose speeds.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Anticholinergic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— muscular rigidity, metabolic acidosis, tachycardia, hyperpyrexia. </w:t>
            </w:r>
            <w:r>
              <w:rPr>
                <w:b/>
                <w:i w:val="0"/>
                <w:sz w:val="18"/>
              </w:rPr>
              <w:t>Apnea</w:t>
            </w:r>
            <w:r>
              <w:rPr>
                <w:b w:val="0"/>
                <w:i w:val="0"/>
                <w:sz w:val="18"/>
              </w:rPr>
              <w:t xml:space="preserve"> with plasma cholinesterase deficiency. </w:t>
            </w:r>
            <w:r>
              <w:rPr>
                <w:b/>
                <w:i w:val="0"/>
                <w:sz w:val="18"/>
              </w:rPr>
              <w:t>Hyperkalemia.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malignant hyperthermia by rapid cooling and dantrolene (Dantrium)</w:t>
            </w:r>
            <w:r>
              <w:rPr>
                <w:b w:val="0"/>
                <w:i w:val="0"/>
                <w:sz w:val="18"/>
              </w:rPr>
              <w:t>, which blocks calcium release from the sarcoplasmic reticulum.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Muscle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Atracurium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Releases histamine</w:t>
            </w:r>
            <w:r>
              <w:rPr>
                <w:b w:val="0"/>
                <w:i w:val="0"/>
                <w:sz w:val="18"/>
              </w:rPr>
              <w:t xml:space="preserve"> — fall in blood pressure, flushing and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Replaced by its isomer cisatracurium (Nimbex) because of fewer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— anxiety, fear, tension, headache, tremor.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Cerebral hemorrhage from the rise in blood pressure.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Cardiac arrhythmias.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Pulmonary 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Oral is ineffective</w:t>
            </w:r>
            <w:r>
              <w:rPr>
                <w:b w:val="0"/>
                <w:i w:val="0"/>
                <w:sz w:val="18"/>
              </w:rPr>
              <w:t xml:space="preserve"> — inactivated by intestinal enzymes. Rapid onset, brief duration.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Catecholamines — class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epinephrine, norepinephrine, isoproterenol, 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Anxiety, tremor and headache</w:t>
            </w:r>
            <w:r>
              <w:rPr>
                <w:b w:val="0"/>
                <w:i w:val="0"/>
                <w:sz w:val="18"/>
              </w:rPr>
              <w:t xml:space="preserve"> — central nervous system-like adverse effects despite </w:t>
            </w:r>
            <w:r>
              <w:rPr>
                <w:b/>
                <w:i w:val="0"/>
                <w:sz w:val="18"/>
              </w:rPr>
              <w:t>poor penetration into the central nervous system</w:t>
            </w:r>
            <w:r>
              <w:rPr>
                <w:b w:val="0"/>
                <w:i w:val="0"/>
                <w:sz w:val="18"/>
              </w:rPr>
              <w:t>, because they are too polar to enter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Rapidly inactivated by </w:t>
            </w:r>
            <w:r>
              <w:rPr>
                <w:b/>
                <w:i w:val="0"/>
                <w:sz w:val="18"/>
              </w:rPr>
              <w:t>COMT postsynaptically and MAO intraneuronally</w:t>
            </w:r>
            <w:r>
              <w:rPr>
                <w:b w:val="0"/>
                <w:i w:val="0"/>
                <w:sz w:val="18"/>
              </w:rPr>
              <w:t>, which is why they are infusions rather than tablets.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Similar to epinephrine, plus </w:t>
            </w:r>
            <w:r>
              <w:rPr>
                <w:b/>
                <w:i w:val="0"/>
                <w:sz w:val="18"/>
              </w:rPr>
              <w:t>extravasation causing blanching and sloughing of the skin</w:t>
            </w:r>
            <w:r>
              <w:rPr>
                <w:b w:val="0"/>
                <w:i w:val="0"/>
                <w:sz w:val="18"/>
              </w:rPr>
              <w:t xml:space="preserve"> from extreme vasoconstriction.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extravasation with the alpha antagonist phentolamine.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hypertension and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rhythm as the rate climbs into the alpha-1 range.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atrioventricular conduction — caution in atrial fibrillation.</w:t>
            </w:r>
            <w:r>
              <w:rPr>
                <w:b w:val="0"/>
                <w:i w:val="0"/>
                <w:sz w:val="18"/>
              </w:rPr>
              <w:t xml:space="preserve"> Otherwise the same as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Tolerance may develop with prolonged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Albuterol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Tremor, restlessness, apprehension and anxiety.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Beta-2 effects outside the lung — expected, not a reason to stop.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Lethargy, sedation, constipation, xerostomia.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Rebound hypertension with abrupt discontinuance.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rebound is the one that is dangerous; the rest merely reduce adherence.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RHINITIS MEDICAMENTOSA — rebound congestion — if used longer than THREE DAYS.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three-day limit is the entire safety message for this over-the-counter product.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Neo-Synephrine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REFLEX BRADYCARDIA</w:t>
            </w:r>
            <w:r>
              <w:rPr>
                <w:b w:val="0"/>
                <w:i w:val="0"/>
                <w:sz w:val="18"/>
              </w:rPr>
              <w:t xml:space="preserve"> as it raises systolic and diastolic blood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pure alpha-1 agonist, so the slowing is a baroreceptor response rather than a direct cardiac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blood pressure</w:t>
            </w:r>
            <w:r>
              <w:rPr>
                <w:b w:val="0"/>
                <w:i w:val="0"/>
                <w:sz w:val="18"/>
              </w:rPr>
              <w:t xml:space="preserve"> (alpha-1), </w:t>
            </w:r>
            <w:r>
              <w:rPr>
                <w:b/>
                <w:i w:val="0"/>
                <w:sz w:val="18"/>
              </w:rPr>
              <w:t>stimulates the heart</w:t>
            </w:r>
            <w:r>
              <w:rPr>
                <w:b w:val="0"/>
                <w:i w:val="0"/>
                <w:sz w:val="18"/>
              </w:rPr>
              <w:t xml:space="preserve"> (beta-1) and </w:t>
            </w:r>
            <w:r>
              <w:rPr>
                <w:b/>
                <w:i w:val="0"/>
                <w:sz w:val="18"/>
              </w:rPr>
              <w:t>increases central nervous system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Acts indirectly — blocks norepinephrine uptake and releases stored catecholamines.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Tyramine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serious vasopressor effects if the patient is taking a monoamine oxidase inhibitor.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Normally oxidized by MAO (monoamine oxidase) in the gastrointestinal tract; on an MAOI (monoamine oxidase inhibitor) it </w:t>
            </w:r>
            <w:r>
              <w:rPr>
                <w:b/>
                <w:i w:val="0"/>
                <w:sz w:val="18"/>
              </w:rPr>
              <w:t>enters the nerve terminal and displaces stored norepinephrine</w:t>
            </w:r>
            <w:r>
              <w:rPr>
                <w:b w:val="0"/>
                <w:i w:val="0"/>
                <w:sz w:val="18"/>
              </w:rPr>
              <w:t xml:space="preserve">. Found in </w:t>
            </w:r>
            <w:r>
              <w:rPr>
                <w:b/>
                <w:i w:val="0"/>
                <w:sz w:val="18"/>
              </w:rPr>
              <w:t>fermented foods such as cheese and wine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Dizziness, lack of energy, nasal congestion, headache, drowsiness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Combined with </w:t>
            </w:r>
            <w:r>
              <w:rPr>
                <w:b/>
                <w:i w:val="0"/>
                <w:sz w:val="18"/>
              </w:rPr>
              <w:t>first-dose syncope</w:t>
            </w:r>
            <w:r>
              <w:rPr>
                <w:b w:val="0"/>
                <w:i w:val="0"/>
                <w:sz w:val="18"/>
              </w:rPr>
              <w:t>, this is why the first dose is given at bedtime.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Bronchoconstriction.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 xml:space="preserve">, from beta receptor up-regulation. </w:t>
            </w:r>
            <w:r>
              <w:rPr>
                <w:b/>
                <w:i w:val="0"/>
                <w:sz w:val="18"/>
              </w:rPr>
              <w:t>Sexual impairment.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Fasting hypoglycemia, increased LDL cholesterol, increased triglycerides.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metabolic disturbances are easy to forget and easy to ask about.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Cardiac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central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Depression, dizziness, lethargy, fatigue, weakness, visual disturbances, hallucinations, short-term memory loss, emotional lability, vivid dreams including nightmares</w:t>
            </w:r>
            <w:r>
              <w:rPr>
                <w:b w:val="0"/>
                <w:i w:val="0"/>
                <w:sz w:val="18"/>
              </w:rPr>
              <w:t>, and decreased performance.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Cimetidine, fluoxetine, paroxetine and ritonavir inhibit its metabolism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barbiturates, phenytoin and rifampin induce it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Psychiatric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Labetalol, carvedilol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 due to alpha-1 blockade.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produce peripheral vasodilation, which is where the postural drop comes from.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Nicotine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Increases blood pressure, heart rate, peristalsis and secretions; </w:t>
            </w:r>
            <w:r>
              <w:rPr>
                <w:b/>
                <w:i w:val="0"/>
                <w:sz w:val="18"/>
              </w:rPr>
              <w:t>at higher doses blood pressure falls</w:t>
            </w:r>
            <w:r>
              <w:rPr>
                <w:b w:val="0"/>
                <w:i w:val="0"/>
                <w:sz w:val="18"/>
              </w:rPr>
              <w:t xml:space="preserve"> from ganglionic blockade and </w:t>
            </w:r>
            <w:r>
              <w:rPr>
                <w:b/>
                <w:i w:val="0"/>
                <w:sz w:val="18"/>
              </w:rPr>
              <w:t>gastrointestinal and bladder activity ceases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Biphasic — stimulation first, then paralysis of all ganglia.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Autonomic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tools/check_pharm_ref.py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