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memorize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Role of laboratory testing.</w:t>
      </w:r>
      <w:r>
        <w:rPr>
          <w:b w:val="0"/>
          <w:i w:val="0"/>
        </w:rPr>
        <w:t xml:space="preserve"> It is a tool used alongside a thorough history and physical examination to add information. Diagnostics supplement the history and examination rather than replacing them.</w:t>
      </w: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spacing w:after="120"/>
      </w:pPr>
      <w:r>
        <w:rPr>
          <w:b/>
          <w:i w:val="0"/>
        </w:rPr>
        <w:t>Interpreting chemistry results.</w:t>
      </w:r>
      <w:r>
        <w:rPr>
          <w:b w:val="0"/>
          <w:i w:val="0"/>
        </w:rPr>
        <w:t xml:space="preserve"> A lab value shifts the probability of the diagnoses under consideration, narrowing the differential and directing the next test rather than being diagnostic by itself.</w:t>
      </w:r>
    </w:p>
    <w:p>
      <w:pPr>
        <w:spacing w:after="120"/>
      </w:pPr>
      <w:r>
        <w:rPr>
          <w:b/>
          <w:i w:val="0"/>
        </w:rPr>
        <w:t>Patient perceptions about testing.</w:t>
      </w:r>
      <w:r>
        <w:rPr>
          <w:b w:val="0"/>
          <w:i w:val="0"/>
        </w:rPr>
        <w:t xml:space="preserve"> Understanding a patient's perceptions and anxieties allows communication on a deeper level so that a therapeutic relationship can develop. Empathy is expected throughout all phases of testing.</w:t>
      </w: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Intratest phase.</w:t>
      </w:r>
      <w:r>
        <w:rPr>
          <w:b w:val="0"/>
          <w:i w:val="0"/>
        </w:rPr>
        <w:t xml:space="preserve"> The intratest phase covers performing the test and everything it encompasses, such as monitoring vital signs and administering analgesics or sedatives during the procedure.</w:t>
      </w: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color. She does not want it memorized.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p>
      <w:pPr>
        <w:spacing w:after="120"/>
      </w:pPr>
      <w:r>
        <w:rPr>
          <w:b/>
          <w:i w:val="0"/>
        </w:rPr>
        <w:t>Culture specimens.</w:t>
      </w:r>
      <w:r>
        <w:rPr>
          <w:b w:val="0"/>
          <w:i w:val="0"/>
        </w:rPr>
        <w:t xml:space="preserve"> For throat, sputum and blood cultures alike, obtain the specimen before initiating antibiotics whenever possible, since antibiotics reduce the yield.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oxidizes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spacing w:after="120"/>
      </w:pPr>
      <w:r>
        <w:rPr>
          <w:b/>
          <w:i w:val="0"/>
        </w:rPr>
        <w:t>Stool specimen collection.</w:t>
      </w:r>
      <w:r>
        <w:rPr>
          <w:b w:val="0"/>
          <w:i w:val="0"/>
        </w:rPr>
        <w:t xml:space="preserve"> The specimen must be free of urine or other bodily secretions such as menstrual blood, and collected into a dry, clean container.</w:t>
      </w:r>
    </w:p>
    <w:p>
      <w:pPr>
        <w:spacing w:after="120"/>
      </w:pPr>
      <w:r>
        <w:rPr>
          <w:b/>
          <w:i w:val="0"/>
        </w:rPr>
        <w:t>Three stool specimens for ova and parasites.</w:t>
      </w:r>
      <w:r>
        <w:rPr>
          <w:b w:val="0"/>
          <w:i w:val="0"/>
        </w:rPr>
        <w:t xml:space="preserve"> Three separate random specimens are recommended because of the life cycle of parasites, which increases the likelihood of detection. Organisms are shed intermittently, so a single specimen can miss them.</w:t>
      </w:r>
    </w:p>
    <w:p>
      <w:pPr>
        <w:spacing w:after="120"/>
      </w:pPr>
      <w:r>
        <w:rPr>
          <w:b/>
          <w:i w:val="0"/>
        </w:rPr>
        <w:t>Blood culture technique.</w:t>
      </w:r>
      <w:r>
        <w:rPr>
          <w:b w:val="0"/>
          <w:i w:val="0"/>
        </w:rPr>
        <w:t xml:space="preserve"> After the puncture site has been disinfected, avoid palpating the site unless sterile gloves are worn, because palpation recontaminates it.</w:t>
      </w:r>
    </w:p>
    <w:p>
      <w:pPr>
        <w:spacing w:after="120"/>
      </w:pPr>
      <w:r>
        <w:rPr>
          <w:b/>
          <w:i w:val="0"/>
        </w:rPr>
        <w:t>Inducing sputum.</w:t>
      </w:r>
      <w:r>
        <w:rPr>
          <w:b w:val="0"/>
          <w:i w:val="0"/>
        </w:rPr>
        <w:t xml:space="preserve"> For a patient who cannot produce a specimen, aerosols such as sterile water, saline or albuterol help loosen and induce secretions.</w:t>
      </w: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p>
      <w:pPr>
        <w:spacing w:after="120"/>
      </w:pPr>
      <w:r>
        <w:rPr>
          <w:b/>
          <w:i w:val="0"/>
        </w:rPr>
        <w:t>Growing point-of-care testing.</w:t>
      </w:r>
      <w:r>
        <w:rPr>
          <w:b w:val="0"/>
          <w:i w:val="0"/>
        </w:rPr>
        <w:t xml:space="preserve"> Fentanyl testing and human immunodeficiency virus testing are the two areas of point-of-care testing noted as rapidly increasing.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standardized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Analyzer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minimize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license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i w:val="0"/>
        </w:rPr>
        <w:t>Screening tests.</w:t>
      </w:r>
      <w:r>
        <w:rPr>
          <w:b w:val="0"/>
          <w:i w:val="0"/>
        </w:rPr>
        <w:t xml:space="preserve"> They are typically inexpensive and easy to perform and indicate whether further testing is needed. Screening should be performed before more expensive or time-consuming tests.</w:t>
      </w: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minimizes false-positive diagnoses</w:t>
            </w:r>
          </w:p>
        </w:tc>
      </w:tr>
    </w:tbl>
    <w:p>
      <w:pPr>
        <w:spacing w:after="80"/>
      </w:pPr>
    </w:p>
    <w:p>
      <w:pPr>
        <w:spacing w:after="120"/>
      </w:pPr>
      <w:r>
        <w:rPr>
          <w:b/>
          <w:i w:val="0"/>
        </w:rPr>
        <w:t>Specificity and error type.</w:t>
      </w:r>
      <w:r>
        <w:rPr>
          <w:b w:val="0"/>
          <w:i w:val="0"/>
        </w:rPr>
        <w:t xml:space="preserve"> Specificity relates to fewer false positives; it does not address false negatives.</w:t>
      </w:r>
    </w:p>
    <w:p>
      <w:pPr>
        <w:spacing w:after="120"/>
      </w:pPr>
      <w:r>
        <w:rPr>
          <w:b/>
          <w:i w:val="0"/>
        </w:rPr>
        <w:t>Screening for human immunodeficiency virus.</w:t>
      </w:r>
      <w:r>
        <w:rPr>
          <w:b w:val="0"/>
          <w:i w:val="0"/>
        </w:rPr>
        <w:t xml:space="preserve"> A highly sensitive test comes first because it is better to have a few false positives, later corrected by a highly specific confirmatory test, than to miss infected individuals who might unknowingly infect others.</w:t>
      </w: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p>
      <w:pPr>
        <w:spacing w:after="120"/>
      </w:pPr>
      <w:r>
        <w:rPr>
          <w:b/>
          <w:i w:val="0"/>
        </w:rPr>
        <w:t>Positive predictive value.</w:t>
      </w:r>
      <w:r>
        <w:rPr>
          <w:b w:val="0"/>
          <w:i w:val="0"/>
        </w:rPr>
        <w:t xml:space="preserve"> It is the likelihood that a positive test result identifies someone with the disease; negative predictive value is the likelihood that a negative result identifies someone without it.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i w:val="0"/>
        </w:rPr>
        <w:t>Prevalence and positive predictive value.</w:t>
      </w:r>
      <w:r>
        <w:rPr>
          <w:b w:val="0"/>
          <w:i w:val="0"/>
        </w:rPr>
        <w:t xml:space="preserve"> With the same test (95% sensitivity and 95% specificity), positive predictive value is higher in a high-prevalence population and lower in a low-prevalence one, as in the frostbite example: 68% versus about 2%.</w:t>
      </w: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Pre-test probability.</w:t>
      </w:r>
      <w:r>
        <w:rPr>
          <w:b w:val="0"/>
          <w:i w:val="0"/>
        </w:rPr>
        <w:t xml:space="preserve"> It indicates the chance the condition is present beforehand, which helps decide whether the test is worth ordering at all; the judgment comes from the patient's presentation and risk factors.</w:t>
      </w: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“Contrast media… They are also radiation. The contrast media itself can also increase cancer risk. It’s all carcinogenic.”</w:t>
                  </w:r>
                  <w:r>
                    <w:rPr>
                      <w:b w:val="0"/>
                      <w:i w:val="0"/>
                      <w:sz w:val="18"/>
                    </w:rPr>
                    <w:t xml:space="preserve"> [27:38]</w:t>
                  </w:r>
                </w:p>
              </w:tc>
              <w:tc>
                <w:tcPr>
                  <w:tcW w:type="dxa" w:w="7272"/>
                </w:tcPr>
                <w:p>
                  <w:pPr>
                    <w:spacing w:after="40"/>
                  </w:pPr>
                  <w:r>
                    <w:rPr>
                      <w:sz w:val="18"/>
                    </w:rPr>
                  </w:r>
                  <w:r>
                    <w:rPr>
                      <w:b w:val="0"/>
                      <w:i w:val="0"/>
                      <w:sz w:val="18"/>
                    </w:rPr>
                    <w:t xml:space="preserve">She stated the deck’s carcinogenicity point flatly and tied it to the diagnostic approach: “that’s why one of the questions… is, can we do this without contrast?” </w:t>
                  </w:r>
                  <w:r>
                    <w:rPr>
                      <w:b/>
                      <w:i w:val="0"/>
                      <w:sz w:val="18"/>
                    </w:rPr>
                    <w:t>Not accurate as stated.</w:t>
                  </w:r>
                  <w:r>
                    <w:rPr>
                      <w:b w:val="0"/>
                      <w:i w:val="0"/>
                      <w:sz w:val="18"/>
                    </w:rPr>
                    <w:t xml:space="preserve"> Iodinated and gadolinium agents are radiopaque, not radioactive, and are not carcinogenic themselves. The cancer risk of a contrast study comes from the ionizing radiation of the x-ray-based technique; only nuclear medicine tracers such as technetium-99 are radioactive.</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Memorized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i w:val="0"/>
        </w:rPr>
        <w:t>Choosing an imaging modality.</w:t>
      </w:r>
      <w:r>
        <w:rPr>
          <w:b w:val="0"/>
          <w:i w:val="0"/>
        </w:rPr>
        <w:t xml:space="preserve"> Ask which modality best rules the diagnosis in or out, whether there is a lower-radiation alternative, what the risk against benefit is for this patient, and whether contrast is needed.</w:t>
      </w: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gray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spacing w:after="120"/>
      </w:pPr>
      <w:r>
        <w:rPr>
          <w:b/>
          <w:i w:val="0"/>
        </w:rPr>
        <w:t>Color Doppler.</w:t>
      </w:r>
      <w:r>
        <w:rPr>
          <w:b w:val="0"/>
          <w:i w:val="0"/>
        </w:rPr>
        <w:t xml:space="preserve"> It adds direction of flow and velocity to an ultrasound image otherwise made of white, gray and black; color is the flow overlay, used for blood.</w:t>
      </w:r>
    </w:p>
    <w:p>
      <w:pPr>
        <w:spacing w:after="120"/>
      </w:pPr>
      <w:r>
        <w:rPr>
          <w:b/>
          <w:i w:val="0"/>
        </w:rPr>
        <w:t>Open magnetic resonance scanner.</w:t>
      </w:r>
      <w:r>
        <w:rPr>
          <w:b w:val="0"/>
          <w:i w:val="0"/>
        </w:rPr>
        <w:t xml:space="preserve"> Open scanners are available, but the price paid for the open configuration is decreased quality of imaging.</w:t>
      </w:r>
    </w:p>
    <w:p>
      <w:pPr>
        <w:spacing w:after="120"/>
      </w:pPr>
      <w:r>
        <w:rPr>
          <w:b/>
          <w:i w:val="0"/>
        </w:rPr>
        <w:t>Magnetic resonance signal.</w:t>
      </w:r>
      <w:r>
        <w:rPr>
          <w:b w:val="0"/>
          <w:i w:val="0"/>
        </w:rPr>
        <w:t xml:space="preserve"> The frequency of the radio waves read depends on both the chemical environment of the hydrogen atoms and their location, which lets the computer build a spatial map.</w:t>
      </w:r>
    </w:p>
    <w:p>
      <w:pPr>
        <w:spacing w:after="120"/>
      </w:pPr>
      <w:r>
        <w:rPr>
          <w:b/>
          <w:i w:val="0"/>
        </w:rPr>
        <w:t>Magnetic resonance imaging safety.</w:t>
      </w:r>
      <w:r>
        <w:rPr>
          <w:b w:val="0"/>
          <w:i w:val="0"/>
        </w:rPr>
        <w:t xml:space="preserve"> No radiation is emitted, but the magnet creates hazards: magnetic implanted devices and ferromagnetic projectiles; it is still not recommended in pregnancy or infants.</w:t>
      </w:r>
    </w:p>
    <w:p>
      <w:pPr>
        <w:spacing w:after="120"/>
      </w:pPr>
      <w:r>
        <w:rPr>
          <w:b/>
          <w:i w:val="0"/>
        </w:rPr>
        <w:t>Diffusion-weighted imaging.</w:t>
      </w:r>
      <w:r>
        <w:rPr>
          <w:b w:val="0"/>
          <w:i w:val="0"/>
        </w:rPr>
        <w:t xml:space="preserve"> This programmable magnetic resonance technique is useful in stroke; it evaluates the diffusion of water within tissue, and the scanner can also be programmed to evaluate blood velocity.</w:t>
      </w:r>
    </w:p>
    <w:p>
      <w:pPr>
        <w:spacing w:after="120"/>
      </w:pPr>
      <w:r>
        <w:rPr>
          <w:b/>
          <w:i w:val="0"/>
        </w:rPr>
        <w:t>Magnetic resonance imaging versus computed tomography near bone.</w:t>
      </w:r>
      <w:r>
        <w:rPr>
          <w:b w:val="0"/>
          <w:i w:val="0"/>
        </w:rPr>
        <w:t xml:space="preserve"> Magnetic resonance imaging shows tissues surrounded by bone better because calcium emits no signal, so the bone does not obscure what sits inside it; that silence is an advantage rather than a gap.</w:t>
      </w:r>
    </w:p>
    <w:p>
      <w:pPr>
        <w:spacing w:after="120"/>
      </w:pPr>
      <w:r>
        <w:rPr>
          <w:b/>
          <w:i w:val="0"/>
        </w:rPr>
        <w:t>Kidneys on a bone scan.</w:t>
      </w:r>
      <w:r>
        <w:rPr>
          <w:b w:val="0"/>
          <w:i w:val="0"/>
        </w:rPr>
        <w:t xml:space="preserve"> Renal uptake is a normal finding. Positron emission tracer is likewise renally cleared, so the urinary tract always appears on those scans.</w:t>
      </w:r>
    </w:p>
    <w:p>
      <w:pPr>
        <w:spacing w:after="120"/>
      </w:pPr>
      <w:r>
        <w:rPr>
          <w:b/>
          <w:i w:val="0"/>
        </w:rPr>
        <w:t>Venogram.</w:t>
      </w:r>
      <w:r>
        <w:rPr>
          <w:b w:val="0"/>
          <w:i w:val="0"/>
        </w:rPr>
        <w:t xml:space="preserve"> This is the angiographic study of the veins rather than the arteries, and it is performed as either a magnetic resonance venogram or a computed tomography venogram.</w:t>
      </w:r>
    </w:p>
    <w:p>
      <w:pPr>
        <w:spacing w:after="120"/>
      </w:pPr>
      <w:r>
        <w:rPr>
          <w:b/>
          <w:i w:val="0"/>
        </w:rPr>
        <w:t>Fluoroscopy equipment.</w:t>
      </w:r>
      <w:r>
        <w:rPr>
          <w:b w:val="0"/>
          <w:i w:val="0"/>
        </w:rPr>
        <w:t xml:space="preserve"> It requires an x-ray unit fitted for controlled motion of the source, the imaging sensor and the patient, with a tilting table; the tube moves freely back and forth to image the patient.</w:t>
      </w: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edema, infection, blood and cerebrospinal fluid all follow water. Two mnemonics, pick one: </w:t>
      </w:r>
      <w:r>
        <w:rPr>
          <w:b w:val="0"/>
          <w:i/>
        </w:rPr>
        <w:t>T2 = H2O is white</w:t>
      </w:r>
      <w:r>
        <w:rPr>
          <w:b w:val="0"/>
          <w:i w:val="0"/>
        </w:rPr>
        <w:t>, or just look at the ventricles in the figure above.</w:t>
      </w:r>
    </w:p>
    <w:p>
      <w:pPr>
        <w:spacing w:after="120"/>
      </w:pPr>
      <w:r>
        <w:rPr>
          <w:b/>
          <w:i w:val="0"/>
        </w:rPr>
        <w:t>T2-weighted image.</w:t>
      </w:r>
      <w:r>
        <w:rPr>
          <w:b w:val="0"/>
          <w:i w:val="0"/>
        </w:rPr>
        <w:t xml:space="preserve"> Tissue with high water content appears bright; examples are fat, edema, infection, blood and cerebrospinal fluid. Water is white on T2.</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color Doppler</w:t>
            </w:r>
          </w:p>
        </w:tc>
      </w:tr>
    </w:tbl>
    <w:p>
      <w:pPr>
        <w:spacing w:after="80"/>
      </w:pPr>
    </w:p>
    <w:p>
      <w:pPr>
        <w:spacing w:after="120"/>
      </w:pPr>
      <w:r>
        <w:rPr>
          <w:b/>
          <w:i w:val="0"/>
        </w:rPr>
        <w:t>Ultrasonography indications.</w:t>
      </w:r>
      <w:r>
        <w:rPr>
          <w:b w:val="0"/>
          <w:i w:val="0"/>
        </w:rPr>
        <w:t xml:space="preserve"> Assessment of moving structures, naming the heart, the vasculature and obstetrics; it records in real time, which suits it to motion.</w:t>
      </w:r>
    </w:p>
    <w:p>
      <w:pPr>
        <w:spacing w:after="120"/>
      </w:pPr>
      <w:r>
        <w:rPr>
          <w:b/>
          <w:i w:val="0"/>
        </w:rPr>
        <w:t>Ultrasound as first study.</w:t>
      </w:r>
      <w:r>
        <w:rPr>
          <w:b w:val="0"/>
          <w:i w:val="0"/>
        </w:rPr>
        <w:t xml:space="preserve"> It is often the first study of choice in the female pelvis and pediatric patients, and it is also used to guide procedures; no radiation is the reason it leads in both groups.</w:t>
      </w:r>
    </w:p>
    <w:p>
      <w:pPr>
        <w:spacing w:after="120"/>
      </w:pPr>
      <w:r>
        <w:rPr>
          <w:b/>
          <w:i w:val="0"/>
        </w:rPr>
        <w:t>Choosing a modality.</w:t>
      </w:r>
      <w:r>
        <w:rPr>
          <w:b w:val="0"/>
          <w:i w:val="0"/>
        </w:rPr>
        <w:t xml:space="preserve"> When the diagnosis is uncertain, reason from the tissue rather than a memorized protocol: computed tomography suits bone, magnetic resonance is best for soft tissue, and ultrasound cannot penetrate bone or gas-filled structures.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gray-scale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spacing w:after="120"/>
      </w:pPr>
      <w:r>
        <w:rPr>
          <w:b/>
          <w:i w:val="0"/>
        </w:rPr>
        <w:t>Computed tomography advantages.</w:t>
      </w:r>
      <w:r>
        <w:rPr>
          <w:b w:val="0"/>
          <w:i w:val="0"/>
        </w:rPr>
        <w:t xml:space="preserve"> It expands the gray scale beyond the five basic densities, reduces overlapping of structures, works with implantable devices, and allows three-dimensional reconstruction; it is the cornerstone of cross-sectional imaging.</w:t>
      </w:r>
    </w:p>
    <w:p>
      <w:pPr>
        <w:spacing w:after="120"/>
      </w:pPr>
      <w:r>
        <w:rPr>
          <w:b/>
          <w:i w:val="0"/>
        </w:rPr>
        <w:t>Hounsfield sequence of tissues.</w:t>
      </w:r>
      <w:r>
        <w:rPr>
          <w:b w:val="0"/>
          <w:i w:val="0"/>
        </w:rPr>
        <w:t xml:space="preserve"> From the most negative to the most positive number the order is air, fat, water, soft tissue, bone, metal, which runs blackest to whitest in exactly that order.</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Densities on a radiograph.</w:t>
      </w:r>
      <w:r>
        <w:rPr>
          <w:b w:val="0"/>
          <w:i w:val="0"/>
        </w:rPr>
        <w:t xml:space="preserve"> Bone is radiopaque, gas is radiolucent, and a metal prosthesis is very opaque, showing three of the five densities at once.</w:t>
      </w:r>
    </w:p>
    <w:p>
      <w:pPr>
        <w:spacing w:after="120"/>
      </w:pPr>
      <w:r>
        <w:rPr>
          <w:b/>
          <w:i w:val="0"/>
        </w:rPr>
        <w:t>Most dense natural material.</w:t>
      </w:r>
      <w:r>
        <w:rPr>
          <w:b w:val="0"/>
          <w:i w:val="0"/>
        </w:rPr>
        <w:t xml:space="preserve"> Calcium is the most dense naturally occurring material; it absorbs most x-rays, though metal absorbs essentially all of them.</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i w:val="0"/>
        </w:rPr>
        <w:t>Radiopaque tissue.</w:t>
      </w:r>
      <w:r>
        <w:rPr>
          <w:b w:val="0"/>
          <w:i w:val="0"/>
        </w:rPr>
        <w:t xml:space="preserve"> Tissue that absorbs more of the beam appears white, because less passage of x-ray photons produces the whiter appearance. It is also called hyperdense or radiodense.</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Computed tomography data acquisition.</w:t>
      </w:r>
      <w:r>
        <w:rPr>
          <w:b w:val="0"/>
          <w:i w:val="0"/>
        </w:rPr>
        <w:t xml:space="preserve"> Powerful x-ray beams pass through the patient via a rotating fan beam, measuring transmission at thousands of data points; a computer then processes the data through algorithms into diagnostic images.</w:t>
      </w:r>
    </w:p>
    <w:p>
      <w:pPr>
        <w:spacing w:after="120"/>
      </w:pPr>
      <w:r>
        <w:rPr>
          <w:b/>
          <w:i w:val="0"/>
        </w:rPr>
        <w:t>Fat on the Hounsfield scale.</w:t>
      </w:r>
      <w:r>
        <w:rPr>
          <w:b w:val="0"/>
          <w:i w:val="0"/>
        </w:rPr>
        <w:t xml:space="preserve"> With water at zero, fat sits at roughly minus forty to minus one hundred and twenty, so it reads darker than soft tissue but lighter than air; fat is negative, but nowhere near as negative as air.</w:t>
      </w:r>
    </w:p>
    <w:p>
      <w:pPr>
        <w:spacing w:after="120"/>
      </w:pPr>
      <w:r>
        <w:rPr>
          <w:b/>
          <w:i w:val="0"/>
        </w:rPr>
        <w:t>The window is a display choice, not an acquisition choice.</w:t>
      </w:r>
      <w:r>
        <w:rPr>
          <w:b w:val="0"/>
          <w:i w:val="0"/>
        </w:rPr>
        <w:t xml:space="preserve"> A window is a pre-selected range of Hounsfield numbers — say −100 to +300 — spread across the available gray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p>
      <w:pPr>
        <w:spacing w:after="120"/>
      </w:pPr>
      <w:r>
        <w:rPr>
          <w:b/>
          <w:i w:val="0"/>
        </w:rPr>
        <w:t>Posterior-anterior chest view.</w:t>
      </w:r>
      <w:r>
        <w:rPr>
          <w:b w:val="0"/>
          <w:i w:val="0"/>
        </w:rPr>
        <w:t xml:space="preserve"> Beyond the heart, it gives maximum visualization of the lung, better visualization of the apices, and well visualized posterior ribs.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Anterior-posterior chest film.</w:t>
      </w:r>
      <w:r>
        <w:rPr>
          <w:b w:val="0"/>
          <w:i w:val="0"/>
        </w:rPr>
        <w:t xml:space="preserve"> It is used for a sick inpatient who cannot stand or get out of bed. It magnifies the heart, so it must not be read for cardiomegaly like a posterior-anterior film.</w:t>
      </w:r>
    </w:p>
    <w:p>
      <w:pPr>
        <w:spacing w:after="120"/>
      </w:pPr>
      <w:r>
        <w:rPr>
          <w:b/>
          <w:i w:val="0"/>
        </w:rPr>
        <w:t>Abdominal series.</w:t>
      </w:r>
      <w:r>
        <w:rPr>
          <w:b w:val="0"/>
          <w:i w:val="0"/>
        </w:rPr>
        <w:t xml:space="preserve"> It evaluates enteric pathology, with the named examples being small bowel obstruction, perforation and volvulus.</w:t>
      </w: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memorizing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i w:val="0"/>
        </w:rPr>
        <w:t>Highest typical organ radiation dose.</w:t>
      </w:r>
      <w:r>
        <w:rPr>
          <w:b w:val="0"/>
          <w:i w:val="0"/>
        </w:rPr>
        <w:t xml:space="preserve"> Among typical organ doses, neonatal abdominal computed tomography, to the stomach, is the highest at about 20 millisieverts, twice the 10 of the adult abdominal scan.</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Lateral versus posterior-anterior chest radiograph.</w:t>
      </w:r>
      <w:r>
        <w:rPr>
          <w:b w:val="0"/>
          <w:i w:val="0"/>
        </w:rPr>
        <w:t xml:space="preserve"> The lung dose of a lateral chest radiograph is higher, about 0.15 millisieverts against 0.01; reducing dose to radiation-sensitive organs is one reason the posterior-anterior view is the preferred projection.</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characterize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The deck calls the dyes “technically radioactive” and names cancer as a risk factor for all contrast material. </w:t>
      </w:r>
      <w:r>
        <w:rPr>
          <w:b/>
          <w:i w:val="0"/>
        </w:rPr>
        <w:t>That is not accurate:</w:t>
      </w:r>
      <w:r>
        <w:rPr>
          <w:b w:val="0"/>
          <w:i w:val="0"/>
        </w:rPr>
        <w:t xml:space="preserve"> iodinated and gadolinium agents are radiopaque, not radioactive, and are not carcinogenic themselves. The cancer risk of a contrast study comes from the </w:t>
      </w:r>
      <w:r>
        <w:rPr>
          <w:b/>
          <w:i w:val="0"/>
        </w:rPr>
        <w:t>ionizing radiation of the x-ray-based technique</w:t>
      </w:r>
      <w:r>
        <w:rPr>
          <w:b w:val="0"/>
          <w:i w:val="0"/>
        </w:rPr>
        <w:t xml:space="preserve"> (radiography, fluoroscopy, computed tomography); only nuclear medicine tracers such as technetium-99 are radioactive.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an iodinated agent, radiopaque rather than radioactive (the slide’s “radioactive form of iodine” is an error; only nuclear medicine tracers are radioactive).</w:t>
            </w:r>
          </w:p>
        </w:tc>
        <w:tc>
          <w:tcPr>
            <w:tcW w:type="dxa" w:w="3636"/>
          </w:tcPr>
          <w:p>
            <w:pPr>
              <w:spacing w:after="40"/>
            </w:pPr>
            <w:r>
              <w:rPr>
                <w:sz w:val="18"/>
              </w:rPr>
            </w:r>
            <w:r>
              <w:rPr>
                <w:b/>
                <w:i w:val="0"/>
                <w:sz w:val="18"/>
              </w:rPr>
              <w:t>Check blood urea nitrogen and creatinine</w:t>
            </w:r>
            <w:r>
              <w:rPr>
                <w:b w:val="0"/>
                <w:i w:val="0"/>
                <w:sz w:val="18"/>
              </w:rPr>
              <w:t>; give one liter of normal saline to protect the kidneys</w:t>
            </w:r>
          </w:p>
        </w:tc>
        <w:tc>
          <w:tcPr>
            <w:tcW w:type="dxa" w:w="3636"/>
          </w:tcPr>
          <w:p>
            <w:pPr>
              <w:spacing w:after="40"/>
            </w:pPr>
            <w:r>
              <w:rPr>
                <w:sz w:val="18"/>
              </w:rPr>
            </w:r>
            <w:r>
              <w:rPr>
                <w:b w:val="0"/>
                <w:i w:val="0"/>
                <w:sz w:val="18"/>
              </w:rPr>
              <w:t>Nephrotoxicity. Indicated for inflammation, cancer staging, tumor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Cancer risk of contrast-enhanced computed tomography.</w:t>
      </w:r>
      <w:r>
        <w:rPr>
          <w:b w:val="0"/>
          <w:i w:val="0"/>
        </w:rPr>
        <w:t xml:space="preserve"> It lies in the ionizing radiation of the scan; iodinated and gadolinium contrast agents are radiopaque, not radioactive, and not carcinogenic themselves, while only nuclear medicine tracers such as technetium-99 are radioactive.</w:t>
      </w:r>
    </w:p>
    <w:p>
      <w:pPr>
        <w:spacing w:after="120"/>
      </w:pPr>
      <w:r>
        <w:rPr>
          <w:b/>
          <w:i w:val="0"/>
        </w:rPr>
        <w:t>Renal function before gadolinium.</w:t>
      </w:r>
      <w:r>
        <w:rPr>
          <w:b w:val="0"/>
          <w:i w:val="0"/>
        </w:rPr>
        <w:t xml:space="preserve"> The concern is primarily clearance: poor function lets it build up in tissue. It can cause kidney damage, but less than computed tomography contrast, which is nephrotoxic.</w:t>
      </w:r>
    </w:p>
    <w:p>
      <w:pPr>
        <w:spacing w:after="120"/>
      </w:pPr>
      <w:r>
        <w:rPr>
          <w:b/>
          <w:i w:val="0"/>
        </w:rPr>
        <w:t>Positron emission tomography tracer.</w:t>
      </w:r>
      <w:r>
        <w:rPr>
          <w:b w:val="0"/>
          <w:i w:val="0"/>
        </w:rPr>
        <w:t xml:space="preserve"> It typically uses fluorodeoxyglucose-18, a radioactive glucose, because tumors have a higher metabolic rate; the scan shows which tissues are consuming more glucose.</w:t>
      </w: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pStyle w:val="ListBullet"/>
        <w:spacing w:after="40"/>
      </w:pPr>
      <w:r>
        <w:rPr>
          <w:b/>
          <w:i w:val="0"/>
          <w:sz w:val="20"/>
        </w:rPr>
        <w:t>Ordering imaging of several regions.</w:t>
      </w:r>
      <w:r>
        <w:rPr>
          <w:b w:val="0"/>
          <w:i w:val="0"/>
          <w:sz w:val="20"/>
        </w:rPr>
        <w:t xml:space="preserve"> Multiple body parts or sections may mean multiple orders; brain, cervical, thoracic and lumbar spine is the example, so one clinical question can require four separate requests.</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localization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Potassium hydroxide preparation.</w:t>
      </w:r>
      <w:r>
        <w:rPr>
          <w:b w:val="0"/>
          <w:i w:val="0"/>
        </w:rPr>
        <w:t xml:space="preserve"> One drop of twenty percent potassium hydroxide is added to the specimen.</w:t>
      </w: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Potassium hydroxide preparation.</w:t>
      </w:r>
      <w:r>
        <w:rPr>
          <w:b w:val="0"/>
          <w:i w:val="0"/>
        </w:rPr>
        <w:t xml:space="preserve"> To make the epithelial cells visible for the low-power examination, reduce the illumination by lowering the condenser.</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millimeters with the centimeters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spacing w:after="120"/>
      </w:pPr>
      <w:r>
        <w:rPr>
          <w:b/>
          <w:i w:val="0"/>
        </w:rPr>
        <w:t>Limitations of skin biopsy.</w:t>
      </w:r>
      <w:r>
        <w:rPr>
          <w:b w:val="0"/>
          <w:i w:val="0"/>
        </w:rPr>
        <w:t xml:space="preserve"> These are sampling error and the procedural risks of bleeding, scarring and infection.</w:t>
      </w: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colonization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Pinhole correction.</w:t>
      </w:r>
      <w:r>
        <w:rPr>
          <w:b w:val="0"/>
          <w:i w:val="0"/>
        </w:rPr>
        <w:t xml:space="preserve"> Reduced acuity that corrects with a pinhole points to refraction rather than disease; a refractive error is the likely cause.</w:t>
      </w:r>
    </w:p>
    <w:p>
      <w:pPr>
        <w:spacing w:after="120"/>
      </w:pPr>
      <w:r>
        <w:rPr>
          <w:b/>
          <w:i w:val="0"/>
        </w:rPr>
        <w:t>Acuity that does not correct with a pinhole.</w:t>
      </w:r>
      <w:r>
        <w:rPr>
          <w:b w:val="0"/>
          <w:i w:val="0"/>
        </w:rPr>
        <w:t xml:space="preserve"> If acuity does not correct with the pinhole, or worsens, eye pathology is likely; correction points to a refractive error.</w:t>
      </w:r>
    </w:p>
    <w:p>
      <w:pPr>
        <w:spacing w:after="120"/>
      </w:pPr>
      <w:r>
        <w:rPr>
          <w:b/>
          <w:i w:val="0"/>
        </w:rPr>
        <w:t>Tonometry.</w:t>
      </w:r>
      <w:r>
        <w:rPr>
          <w:b w:val="0"/>
          <w:i w:val="0"/>
        </w:rPr>
        <w:t xml:space="preserve"> Its purpose is to measure intraocular pressure and evaluate for glaucoma.</w:t>
      </w: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spacing w:after="120"/>
      </w:pPr>
      <w:r>
        <w:rPr>
          <w:b/>
          <w:i w:val="0"/>
        </w:rPr>
        <w:t>Tonometers for glaucoma screening.</w:t>
      </w:r>
      <w:r>
        <w:rPr>
          <w:b w:val="0"/>
          <w:i w:val="0"/>
        </w:rPr>
        <w:t xml:space="preserve"> Two are used: the Schiotz indentation tonometer and the Goldman applanation tonometer, one indentation and one applanation instrument.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Rapid streptococcal antigen test sensitivity.</w:t>
      </w:r>
      <w:r>
        <w:rPr>
          <w:b w:val="0"/>
          <w:i w:val="0"/>
        </w:rPr>
        <w:t xml:space="preserve"> Sensitivity is about seventy to ninety percent, which can lead to false negatives, so a negative result may need confirming.</w:t>
      </w:r>
    </w:p>
    <w:p>
      <w:pPr>
        <w:spacing w:after="120"/>
      </w:pPr>
      <w:r>
        <w:rPr>
          <w:b/>
          <w:i w:val="0"/>
        </w:rPr>
        <w:t>Throat culture limitation.</w:t>
      </w:r>
      <w:r>
        <w:rPr>
          <w:b w:val="0"/>
          <w:i w:val="0"/>
        </w:rPr>
        <w:t xml:space="preserve"> Results are delayed, taking twenty-four to forty-eight hours, the trade-off against the rapid antigen test's speed.</w:t>
      </w: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i w:val="0"/>
        </w:rPr>
        <w:t>Failing primary-care conventional audiometry.</w:t>
      </w:r>
      <w:r>
        <w:rPr>
          <w:b w:val="0"/>
          <w:i w:val="0"/>
        </w:rPr>
        <w:t xml:space="preserve"> A fail is more than twenty decibels hearing level at one or more frequencies.</w:t>
      </w:r>
    </w:p>
    <w:p>
      <w:pPr>
        <w:spacing w:after="120"/>
      </w:pPr>
      <w:r>
        <w:rPr>
          <w:b/>
          <w:i w:val="0"/>
        </w:rPr>
        <w:t>Indications for tympanometry.</w:t>
      </w:r>
      <w:r>
        <w:rPr>
          <w:b w:val="0"/>
          <w:i w:val="0"/>
        </w:rPr>
        <w:t xml:space="preserve"> The three are suspected effusion, otitis media with effusion, and eustachian tube dysfunction.</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Screening pure tone audiometry.</w:t>
      </w:r>
      <w:r>
        <w:rPr>
          <w:b w:val="0"/>
          <w:i w:val="0"/>
        </w:rPr>
        <w:t xml:space="preserve"> Tones are presented at 25 to 30 decibels for adults and 15 to 20 decibels for children, the upper limits of normal hearing, set lower for children.</w:t>
      </w:r>
    </w:p>
    <w:p>
      <w:pPr>
        <w:spacing w:after="120"/>
      </w:pPr>
      <w:r>
        <w:rPr>
          <w:b/>
          <w:i w:val="0"/>
        </w:rPr>
        <w:t>Audiogram and pure tone audiometry.</w:t>
      </w:r>
      <w:r>
        <w:rPr>
          <w:b w:val="0"/>
          <w:i w:val="0"/>
        </w:rPr>
        <w:t xml:space="preserve"> Sound intensity is recorded on the audiogram's vertical axis, and pure tone audiometry requires a quiet environment.</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spacing w:after="120"/>
      </w:pPr>
      <w:r>
        <w:rPr>
          <w:b/>
          <w:i w:val="0"/>
        </w:rPr>
        <w:t>Significant negative middle-ear pressure.</w:t>
      </w:r>
      <w:r>
        <w:rPr>
          <w:b w:val="0"/>
          <w:i w:val="0"/>
        </w:rPr>
        <w:t xml:space="preserve"> A type C curve shows normal mobility with negative pressure. That pressure is significant for treatment when more negative than minus two hundred millimeters of water.</w:t>
      </w: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tumors.</w:t>
            </w:r>
            <w:r>
              <w:rPr>
                <w:sz w:val="18"/>
              </w:rPr>
              <w:br/>
            </w:r>
            <w:r>
              <w:rPr>
                <w:sz w:val="18"/>
              </w:rPr>
              <w:br/>
            </w:r>
            <w:r>
              <w:rPr>
                <w:b/>
                <w:i w:val="0"/>
                <w:sz w:val="18"/>
              </w:rPr>
              <w:t>Think MRI for soft tissue, nerves, and tumor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Sinus infection on computed tomography.</w:t>
      </w:r>
      <w:r>
        <w:rPr>
          <w:b w:val="0"/>
          <w:i w:val="0"/>
        </w:rPr>
        <w:t xml:space="preserve"> The three findings are mucosal thickening, air-fluid levels and sinus opacification.</w:t>
      </w:r>
    </w:p>
    <w:p>
      <w:pPr>
        <w:spacing w:after="120"/>
      </w:pPr>
      <w:r>
        <w:rPr>
          <w:b/>
          <w:i w:val="0"/>
        </w:rPr>
        <w:t>Neck computed tomography.</w:t>
      </w:r>
      <w:r>
        <w:rPr>
          <w:b w:val="0"/>
          <w:i w:val="0"/>
        </w:rPr>
        <w:t xml:space="preserve"> It shows abscess as a rim-enhancing fluid collection, and enlarged or necrotic lymph nodes.</w:t>
      </w:r>
    </w:p>
    <w:p>
      <w:pPr>
        <w:spacing w:after="120"/>
      </w:pPr>
      <w:r>
        <w:rPr>
          <w:b/>
          <w:i w:val="0"/>
        </w:rPr>
        <w:t>Orbital computed tomography.</w:t>
      </w:r>
      <w:r>
        <w:rPr>
          <w:b w:val="0"/>
          <w:i w:val="0"/>
        </w:rPr>
        <w:t xml:space="preserve"> It shows orbital cellulitis with fat stranding, abscess, blowout fracture and herniated orbital contents.</w:t>
      </w: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i w:val="0"/>
        </w:rPr>
        <w:t>Complete blood count with differential.</w:t>
      </w:r>
      <w:r>
        <w:rPr>
          <w:b w:val="0"/>
          <w:i w:val="0"/>
        </w:rPr>
        <w:t xml:space="preserve"> The version with differential adds the breakdown of white cell types to everything the version without it contains; one is a strict superset of the other.</w:t>
      </w: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Reasons to check a white cell count.</w:t>
      </w:r>
      <w:r>
        <w:rPr>
          <w:b w:val="0"/>
          <w:i w:val="0"/>
        </w:rPr>
        <w:t xml:space="preserve"> Non-specific constitutional symptoms that warrant it are unexplained fatigue, weakness, unexplained bruising or bleeding, and weight loss.</w:t>
      </w:r>
    </w:p>
    <w:p>
      <w:pPr>
        <w:spacing w:after="120"/>
      </w:pPr>
      <w:r>
        <w:rPr>
          <w:b/>
          <w:i w:val="0"/>
        </w:rPr>
        <w:t>White blood cell range.</w:t>
      </w:r>
      <w:r>
        <w:rPr>
          <w:b w:val="0"/>
          <w:i w:val="0"/>
        </w:rPr>
        <w:t xml:space="preserve"> Normal is 4,500 to 11,000 cells per microliter, with leukopenia below 4,500 and leukocytosis above 11,000.</w:t>
      </w:r>
    </w:p>
    <w:p>
      <w:pPr>
        <w:spacing w:after="120"/>
      </w:pPr>
      <w:r>
        <w:rPr>
          <w:b/>
          <w:i w:val="0"/>
        </w:rPr>
        <w:t>Myeloproliferative disorder.</w:t>
      </w:r>
      <w:r>
        <w:rPr>
          <w:b w:val="0"/>
          <w:i w:val="0"/>
        </w:rPr>
        <w:t xml:space="preserve"> A white count near 100,000 with granulocytes at every stage of maturation and a massive spleen is clonal overproduction, not a response to infection, and indicates a myeloproliferative disorder; raised platelets and mild anemia fit the same process.</w:t>
      </w:r>
    </w:p>
    <w:p>
      <w:pPr>
        <w:spacing w:after="120"/>
      </w:pPr>
      <w:r>
        <w:rPr>
          <w:b/>
          <w:i w:val="0"/>
        </w:rPr>
        <w:t>Absolute neutrophil count.</w:t>
      </w:r>
      <w:r>
        <w:rPr>
          <w:b w:val="0"/>
          <w:i w:val="0"/>
        </w:rPr>
        <w:t xml:space="preserve"> It equals the white cell count times the neutrophil percentage divided by 100. A count of 2,000 per microliter with 20% neutrophils gives 400 per microliter, and below 500 per microliter is severe neutropenia.</w:t>
      </w:r>
    </w:p>
    <w:p>
      <w:pPr>
        <w:spacing w:after="120"/>
      </w:pPr>
      <w:r>
        <w:rPr>
          <w:b/>
          <w:i w:val="0"/>
        </w:rPr>
        <w:t>Left shift in acute bacterial infection.</w:t>
      </w:r>
      <w:r>
        <w:rPr>
          <w:b w:val="0"/>
          <w:i w:val="0"/>
        </w:rPr>
        <w:t xml:space="preserve"> Neutrophils are increasingly consumed, so more are needed and the marrow releases both mature neutrophils and immature bands to keep up.</w:t>
      </w:r>
    </w:p>
    <w:p>
      <w:pPr>
        <w:spacing w:after="120"/>
      </w:pPr>
      <w:r>
        <w:rPr>
          <w:b/>
          <w:i w:val="0"/>
        </w:rPr>
        <w:t>Bacterial infection on the differential.</w:t>
      </w:r>
      <w:r>
        <w:rPr>
          <w:b w:val="0"/>
          <w:i w:val="0"/>
        </w:rPr>
        <w:t xml:space="preserve"> Neutrophils plus bands indicate it: a raised neutrophil count shows the marrow responding, and immature bands appear when demand has outstripped the supply of mature cells.</w:t>
      </w:r>
    </w:p>
    <w:p>
      <w:pPr>
        <w:spacing w:after="120"/>
      </w:pPr>
      <w:r>
        <w:rPr>
          <w:b/>
          <w:i w:val="0"/>
        </w:rPr>
        <w:t>Neutrophil normal values.</w:t>
      </w:r>
      <w:r>
        <w:rPr>
          <w:b w:val="0"/>
          <w:i w:val="0"/>
        </w:rPr>
        <w:t xml:space="preserve"> The normal range is fifty-four to sixty-two percent of the differential, and the neutrophil is the most abundant white blood cell.</w:t>
      </w:r>
    </w:p>
    <w:p>
      <w:pPr>
        <w:spacing w:after="120"/>
      </w:pPr>
      <w:r>
        <w:rPr>
          <w:b/>
          <w:i w:val="0"/>
        </w:rPr>
        <w:t>Eosinophilia.</w:t>
      </w:r>
      <w:r>
        <w:rPr>
          <w:b w:val="0"/>
          <w:i w:val="0"/>
        </w:rPr>
        <w:t xml:space="preserve"> Eosinophils are the white cell line raised by parasites, allergy and, less often, malignancy. A marked rise (18% against a range of 1 to 3) points to a parasitic infestation or an allergic process.</w:t>
      </w:r>
    </w:p>
    <w:p>
      <w:pPr>
        <w:spacing w:after="120"/>
      </w:pPr>
      <w:r>
        <w:rPr>
          <w:b/>
          <w:i w:val="0"/>
        </w:rPr>
        <w:t>Eosinophil.</w:t>
      </w:r>
      <w:r>
        <w:rPr>
          <w:b w:val="0"/>
          <w:i w:val="0"/>
        </w:rPr>
        <w:t xml:space="preserve"> It makes up one to three percent of white cells, has a two-lobed nucleus, and carries granules containing histamines.</w:t>
      </w:r>
    </w:p>
    <w:p>
      <w:pPr>
        <w:spacing w:after="120"/>
      </w:pPr>
      <w:r>
        <w:rPr>
          <w:b/>
          <w:i w:val="0"/>
        </w:rPr>
        <w:t>Monocyte changes.</w:t>
      </w:r>
      <w:r>
        <w:rPr>
          <w:b w:val="0"/>
          <w:i w:val="0"/>
        </w:rPr>
        <w:t xml:space="preserve"> Monocytes are increased by chronic inflammation, stress and viral infection, and decreased by bone marrow injury.</w:t>
      </w:r>
    </w:p>
    <w:p>
      <w:pPr>
        <w:spacing w:after="120"/>
      </w:pPr>
      <w:r>
        <w:rPr>
          <w:b/>
          <w:i w:val="0"/>
        </w:rPr>
        <w:t>Monocyte normal values.</w:t>
      </w:r>
      <w:r>
        <w:rPr>
          <w:b w:val="0"/>
          <w:i w:val="0"/>
        </w:rPr>
        <w:t xml:space="preserve"> Monocytes make up a normal three to seven percent of white cells; the monocyte is the largest white blood cell and has no granules.</w:t>
      </w:r>
    </w:p>
    <w:p>
      <w:pPr>
        <w:spacing w:after="120"/>
      </w:pPr>
      <w:r>
        <w:rPr>
          <w:b/>
          <w:i w:val="0"/>
        </w:rPr>
        <w:t>Lymphocyte changes.</w:t>
      </w:r>
      <w:r>
        <w:rPr>
          <w:b w:val="0"/>
          <w:i w:val="0"/>
        </w:rPr>
        <w:t xml:space="preserve"> Lymphocytes are increased by viral infections and decreased by human immunodeficiency virus and bone marrow suppression; a virus appears on both sides.</w:t>
      </w:r>
    </w:p>
    <w:p>
      <w:pPr>
        <w:spacing w:after="120"/>
      </w:pPr>
      <w:r>
        <w:rPr>
          <w:b/>
          <w:i w:val="0"/>
        </w:rPr>
        <w:t>Lymphocytosis with atypical lymphocytes.</w:t>
      </w:r>
      <w:r>
        <w:rPr>
          <w:b w:val="0"/>
          <w:i w:val="0"/>
        </w:rPr>
        <w:t xml:space="preserve"> A lymphocyte-predominant leukocytosis with atypical lymphocytes on the smear is the pattern of a viral infection; with pharyngitis it points strongly to infectious mononucleosis.</w:t>
      </w: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Neutrophil role.</w:t>
      </w:r>
      <w:r>
        <w:rPr>
          <w:b w:val="0"/>
          <w:i w:val="0"/>
        </w:rPr>
        <w:t xml:space="preserve"> The neutrophil, the most abundant white blood cell, is the body's main defense against bacteria and its primary defense against microbial invasion, acting by phagocytosis.</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Absolute neutrophil count.</w:t>
      </w:r>
      <w:r>
        <w:rPr>
          <w:b w:val="0"/>
          <w:i w:val="0"/>
        </w:rPr>
        <w:t xml:space="preserve"> Bands count with the neutrophils: white blood cell count × (neutrophil percent + band percent) ÷ 100, so 1,200 × (22 + 6) ÷ 100 = 336 per microliter. Below 500 is severe neutropenia, the threshold that changes precautions and antibiotic decisions.</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Immune thrombocytopenic purpura.</w:t>
      </w:r>
      <w:r>
        <w:rPr>
          <w:b w:val="0"/>
          <w:i w:val="0"/>
        </w:rPr>
        <w:t xml:space="preserve"> It is an ISOLATED thrombocytopenia, with red cells and white cells untouched and a normal smear, after a viral illness; the absence of schistocytes separates it from the microangiopathies.</w:t>
      </w:r>
    </w:p>
    <w:p>
      <w:pPr>
        <w:spacing w:after="120"/>
      </w:pPr>
      <w:r>
        <w:rPr>
          <w:b/>
          <w:i w:val="0"/>
        </w:rPr>
        <w:t>Raised platelets in iron deficiency.</w:t>
      </w:r>
      <w:r>
        <w:rPr>
          <w:b w:val="0"/>
          <w:i w:val="0"/>
        </w:rPr>
        <w:t xml:space="preserve"> The rise is reactive; iron deficiency is one of the causes of a raised platelet count, alongside trauma, acute hemorrhage and polycythemia vera. It needs no separate workup, and treating the iron deficiency settles it.</w:t>
      </w: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spacing w:after="120"/>
      </w:pPr>
      <w:r>
        <w:rPr>
          <w:b/>
          <w:i w:val="0"/>
        </w:rPr>
        <w:t>Platelet count and hemorrhage.</w:t>
      </w:r>
      <w:r>
        <w:rPr>
          <w:b w:val="0"/>
          <w:i w:val="0"/>
        </w:rPr>
        <w:t xml:space="preserve"> The risk of hemorrhage increases when the platelet count falls below 20,000, against a normal count of 150,000 to 450,000 per microliter.</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i w:val="0"/>
        </w:rPr>
        <w:t>Macrocytosis.</w:t>
      </w:r>
      <w:r>
        <w:rPr>
          <w:b w:val="0"/>
          <w:i w:val="0"/>
        </w:rPr>
        <w:t xml:space="preserve"> It is defined by a mean corpuscular volume greater than one hundred femtoliters, and is caused by vitamin B12 or folate deficiency.</w:t>
      </w:r>
    </w:p>
    <w:p>
      <w:pPr>
        <w:spacing w:after="120"/>
      </w:pPr>
      <w:r>
        <w:rPr>
          <w:b/>
          <w:i w:val="0"/>
        </w:rPr>
        <w:t>Hemoglobin and hematocrit pairing.</w:t>
      </w:r>
      <w:r>
        <w:rPr>
          <w:b w:val="0"/>
          <w:i w:val="0"/>
        </w:rPr>
        <w:t xml:space="preserve"> The hematocrit should be roughly three times the hemoglobin (9 predicts about 27). A pair far apart, such as 9.0 with 48%, suggests a sampling or analyzer problem worth repeating.</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i w:val="0"/>
        </w:rPr>
        <w:t>Decreased hematocrit.</w:t>
      </w:r>
      <w:r>
        <w:rPr>
          <w:b w:val="0"/>
          <w:i w:val="0"/>
        </w:rPr>
        <w:t xml:space="preserve"> The four causes are anemias, acute or chronic blood loss, hemolysis and dilution.</w:t>
      </w:r>
    </w:p>
    <w:p>
      <w:pPr>
        <w:spacing w:after="120"/>
      </w:pPr>
      <w:r>
        <w:rPr>
          <w:b/>
          <w:i w:val="0"/>
        </w:rPr>
        <w:t>Polycythemia vera.</w:t>
      </w:r>
      <w:r>
        <w:rPr>
          <w:b w:val="0"/>
          <w:i w:val="0"/>
        </w:rPr>
        <w:t xml:space="preserve"> When all three blood cell lines are raised, it points to a clonal marrow disorder such as polycythemia vera rather than a response to anything; a secondary cause drives red cells alone and has no reason to raise white cells and platelets too.</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Red cell index formulas.</w:t>
      </w:r>
      <w:r>
        <w:rPr>
          <w:b w:val="0"/>
          <w:i w:val="0"/>
        </w:rPr>
        <w:t xml:space="preserve"> Mean corpuscular hemoglobin is hemoglobin times ten over the red cell count; mean corpuscular hemoglobin concentration is hemoglobin times one hundred over hematocrit, and the denominator tells them apart.</w:t>
      </w:r>
    </w:p>
    <w:p>
      <w:pPr>
        <w:spacing w:after="120"/>
      </w:pPr>
      <w:r>
        <w:rPr>
          <w:b/>
          <w:i w:val="0"/>
        </w:rPr>
        <w:t>Beta thalassemia trait.</w:t>
      </w:r>
      <w:r>
        <w:rPr>
          <w:b w:val="0"/>
          <w:i w:val="0"/>
        </w:rPr>
        <w:t xml:space="preserve"> Markedly microcytic anemia with normal iron stores and a red cell count that is high rather than low indicates beta thalassemia trait: the marrow makes plenty of small cells. Iron deficiency cannot produce that combination.</w:t>
      </w:r>
    </w:p>
    <w:p>
      <w:pPr>
        <w:spacing w:after="120"/>
      </w:pPr>
      <w:r>
        <w:rPr>
          <w:b/>
          <w:i w:val="0"/>
        </w:rPr>
        <w:t>Microcytosis.</w:t>
      </w:r>
      <w:r>
        <w:rPr>
          <w:b w:val="0"/>
          <w:i w:val="0"/>
        </w:rPr>
        <w:t xml:space="preserve"> It is defined by a mean corpuscular volume of less than eighty femtoliters, as seen in iron deficiency anemia or thalassemia.</w:t>
      </w: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spacing w:after="120"/>
      </w:pPr>
      <w:r>
        <w:rPr>
          <w:b/>
          <w:i w:val="0"/>
        </w:rPr>
        <w:t>Microcytic, hypochromic cells.</w:t>
      </w:r>
      <w:r>
        <w:rPr>
          <w:b w:val="0"/>
          <w:i w:val="0"/>
        </w:rPr>
        <w:t xml:space="preserve"> A mean corpuscular volume below range makes cells small, and low mean corpuscular hemoglobin and concentration make them pale, with central pallor exceeding a third of the diameter. Iron deficiency and thalassemia sit here.</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Red cell shape terminology.</w:t>
      </w:r>
      <w:r>
        <w:rPr>
          <w:b w:val="0"/>
          <w:i w:val="0"/>
        </w:rPr>
        <w:t xml:space="preserve"> Poikilocytosis means abnormally shaped red blood cells; it is the umbrella term for the shape variants.</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spacing w:after="120"/>
      </w:pPr>
      <w:r>
        <w:rPr>
          <w:b/>
          <w:i w:val="0"/>
        </w:rPr>
        <w:t>Thrombotic microangiopathy.</w:t>
      </w:r>
      <w:r>
        <w:rPr>
          <w:b w:val="0"/>
          <w:i w:val="0"/>
        </w:rPr>
        <w:t xml:space="preserve"> Low platelets plus a hemolytic anemia with schistocytes indicate consumption inside small vessels, where red cells are sheared as they pass. Fever and confusion complete the classic pentad.</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spacing w:after="120"/>
      </w:pPr>
      <w:r>
        <w:rPr>
          <w:b/>
          <w:i w:val="0"/>
        </w:rPr>
        <w:t>Target cells.</w:t>
      </w:r>
      <w:r>
        <w:rPr>
          <w:b w:val="0"/>
          <w:i w:val="0"/>
        </w:rPr>
        <w:t xml:space="preserve"> Liver disease adds redundant membrane to the red cells, giving a bullseye from too much membrane for the volume of hemoglobin; liver disease and splenectomy are the two classic causes, and the macrocytosis is non-megaloblastic.</w:t>
      </w:r>
    </w:p>
    <w:p>
      <w:pPr>
        <w:spacing w:after="120"/>
      </w:pPr>
      <w:r>
        <w:rPr>
          <w:b/>
          <w:i w:val="0"/>
        </w:rPr>
        <w:t>Target cells after splenectomy.</w:t>
      </w:r>
      <w:r>
        <w:rPr>
          <w:b w:val="0"/>
          <w:i w:val="0"/>
        </w:rPr>
        <w:t xml:space="preserve"> Splenectomy increases target cells because of altered filtration dynamics; the spleen normally remodels the membrane as cells pass through.</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spacing w:after="120"/>
      </w:pPr>
      <w:r>
        <w:rPr>
          <w:b/>
          <w:i w:val="0"/>
        </w:rPr>
        <w:t>Teardrop red cells.</w:t>
      </w:r>
      <w:r>
        <w:rPr>
          <w:b w:val="0"/>
          <w:i w:val="0"/>
        </w:rPr>
        <w:t xml:space="preserve"> They form when red cells squeeze out of a marrow packed with scar tissue or tumor. With cytopenias in all three lines and splenomegaly, the mechanism is marrow infiltration and replacement.</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G6PD.</w:t>
      </w:r>
      <w:r>
        <w:rPr>
          <w:b w:val="0"/>
          <w:i w:val="0"/>
        </w:rPr>
        <w:t xml:space="preserve"> Glucose-6-phosphate dehydrogenase is an enzyme that protects red cells from harmful substances. Deficiency arises when the gene driving the enzyme mutates.</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neutralize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Reticulocyte count.</w:t>
      </w:r>
      <w:r>
        <w:rPr>
          <w:b w:val="0"/>
          <w:i w:val="0"/>
        </w:rPr>
        <w:t xml:space="preserve"> It tells whether the bone marrow is functioning appropriately, and it is most helpful when very elevated or very decreased; the middle of the range is the least informative.</w:t>
      </w:r>
    </w:p>
    <w:p>
      <w:pPr>
        <w:spacing w:after="120"/>
      </w:pPr>
      <w:r>
        <w:rPr>
          <w:b/>
          <w:i w:val="0"/>
        </w:rPr>
        <w:t>Aplastic anemia.</w:t>
      </w:r>
      <w:r>
        <w:rPr>
          <w:b w:val="0"/>
          <w:i w:val="0"/>
        </w:rPr>
        <w:t xml:space="preserve"> All three blood cell lines down (pancytopenia) with a low reticulocyte count means the marrow is not producing anything; pancytopenia with an absent reticulocyte response defines marrow failure, as in aplastic anemia.</w:t>
      </w: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spacing w:after="120"/>
      </w:pPr>
      <w:r>
        <w:rPr>
          <w:b/>
          <w:i w:val="0"/>
        </w:rPr>
        <w:t>Vitamin B12 deficiency.</w:t>
      </w:r>
      <w:r>
        <w:rPr>
          <w:b w:val="0"/>
          <w:i w:val="0"/>
        </w:rPr>
        <w:t xml:space="preserve"> Macrocytic anemia with a low vitamin B12 and a smear of macroovalocytes and hypersegmented neutrophils (the megaloblastic signature) indicates vitamin B12 deficiency; neuropathy distinguishes it clinically from folate deficiency.</w:t>
      </w:r>
    </w:p>
    <w:p>
      <w:pPr>
        <w:spacing w:after="120"/>
      </w:pPr>
      <w:r>
        <w:rPr>
          <w:b/>
          <w:i w:val="0"/>
        </w:rPr>
        <w:t>Macrocytosis with normal B12 and folate.</w:t>
      </w:r>
      <w:r>
        <w:rPr>
          <w:b w:val="0"/>
          <w:i w:val="0"/>
        </w:rPr>
        <w:t xml:space="preserve"> With round macrocytes and no macroovalocytes or hypersegmented neutrophils, the problem is not DNA synthesis; non-megaloblastic macrocytosis of liver disease and alcohol is the usual explanation.</w:t>
      </w:r>
    </w:p>
    <w:p>
      <w:pPr>
        <w:spacing w:after="120"/>
      </w:pPr>
      <w:r>
        <w:rPr>
          <w:b/>
          <w:i w:val="0"/>
        </w:rPr>
        <w:t>Lead poisoning.</w:t>
      </w:r>
      <w:r>
        <w:rPr>
          <w:b w:val="0"/>
          <w:i w:val="0"/>
        </w:rPr>
        <w:t xml:space="preserve"> It gives a microcytic anemia with NORMAL iron stores, and basophilic stippling, ribosomal RNA scattered evenly through the cytoplasm, is the classic smear association.</w:t>
      </w: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anemia: the reverse. Lecture 4 · Slide 63</w:t>
      </w:r>
    </w:p>
    <w:p>
      <w:pPr>
        <w:spacing w:after="120"/>
      </w:pPr>
      <w:r>
        <w:rPr>
          <w:b/>
          <w:i w:val="0"/>
        </w:rPr>
        <w:t>Iron comparison table.</w:t>
      </w:r>
      <w:r>
        <w:rPr>
          <w:b w:val="0"/>
          <w:i w:val="0"/>
        </w:rPr>
        <w:t xml:space="preserve"> Thalassemia major and sideroblastic anemia share a low mean corpuscular volume with raised ferritin; sideroblastic anemia also shows raised serum iron.</w:t>
      </w:r>
    </w:p>
    <w:p>
      <w:pPr>
        <w:spacing w:after="120"/>
      </w:pPr>
      <w:r>
        <w:rPr>
          <w:b/>
          <w:i w:val="0"/>
        </w:rPr>
        <w:t>Iron deficiency.</w:t>
      </w:r>
      <w:r>
        <w:rPr>
          <w:b w:val="0"/>
          <w:i w:val="0"/>
        </w:rPr>
        <w:t xml:space="preserve"> Transferrin and total iron binding capacity both rise, while transferrin saturation falls: more carrier, less cargo.</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i w:val="0"/>
        </w:rPr>
        <w:t>Normocytic branch of the anemia algorithm.</w:t>
      </w:r>
      <w:r>
        <w:rPr>
          <w:b w:val="0"/>
          <w:i w:val="0"/>
        </w:rPr>
        <w:t xml:space="preserve"> Obtain a reticulocyte count and a chemistry panel with kidney and liver function tests, with subsequent testing based on the clinical scenario; hematology referral follows if initial testing is unrevealing.</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i w:val="0"/>
        </w:rPr>
        <w:t>Low hemoglobin.</w:t>
      </w:r>
      <w:r>
        <w:rPr>
          <w:b w:val="0"/>
          <w:i w:val="0"/>
        </w:rPr>
        <w:t xml:space="preserve"> The anemia workup starts at a hemoglobin under 14 grams per deciliter for men and under 12 for women, although the normal male range begins at 13.5.</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Alkaline phosphatase on the comprehensive metabolic panel.</w:t>
      </w:r>
      <w:r>
        <w:rPr>
          <w:b w:val="0"/>
          <w:i w:val="0"/>
        </w:rPr>
        <w:t xml:space="preserve"> ALP (alkaline phosphatase) is one of the six liver and protein markers the comprehensive panel adds, and it marks cholestasis or bile duct obstruction.</w:t>
      </w: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i w:val="0"/>
        </w:rPr>
        <w:t>Calcium on the panel.</w:t>
      </w:r>
      <w:r>
        <w:rPr>
          <w:b w:val="0"/>
          <w:i w:val="0"/>
        </w:rPr>
        <w:t xml:space="preserve"> It sits on its own, as the mineral; glucose is fuel, the four electrolytes cover acid-base, and urea nitrogen and creatinine cover the kidney.</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millimeters of mercury.”</w:t>
            </w:r>
            <w:r>
              <w:rPr>
                <w:b w:val="0"/>
                <w:i w:val="0"/>
              </w:rPr>
              <w:t xml:space="preserve"> Shorthand is for handwritten bedside notes and older records.</w:t>
            </w:r>
          </w:p>
        </w:tc>
      </w:tr>
    </w:tbl>
    <w:p>
      <w:pPr>
        <w:spacing w:after="80"/>
      </w:pP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spacing w:after="120"/>
      </w:pPr>
      <w:r>
        <w:rPr>
          <w:b/>
          <w:i w:val="0"/>
        </w:rPr>
        <w:t>Normal blood count panel.</w:t>
      </w:r>
      <w:r>
        <w:rPr>
          <w:b w:val="0"/>
          <w:i w:val="0"/>
        </w:rPr>
        <w:t xml:space="preserve"> When every value sits inside its range, report it as normal with no further testing. A reference range is the mean plus or minus two standard deviations, so chasing values merely near an edge generates work rather than answers.</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Sodium.</w:t>
      </w:r>
      <w:r>
        <w:rPr>
          <w:b w:val="0"/>
          <w:i w:val="0"/>
        </w:rPr>
        <w:t xml:space="preserve"> It is the major cation in the extracellular fluid.</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hyperkalemia and hypokalemia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Potassium fluctuations.</w:t>
      </w:r>
      <w:r>
        <w:rPr>
          <w:b w:val="0"/>
          <w:i w:val="0"/>
        </w:rPr>
        <w:t xml:space="preserve"> Small changes in the serum level carry significant physiological consequences. Potassium maintains membrane electrical potential, especially in neuromuscular tissue, so small changes can cause life-threatening arrhythmias.</w:t>
      </w:r>
    </w:p>
    <w:p>
      <w:pPr>
        <w:spacing w:after="120"/>
      </w:pPr>
      <w:r>
        <w:rPr>
          <w:b/>
          <w:i w:val="0"/>
        </w:rPr>
        <w:t>Potassium in diabetic ketoacidosis.</w:t>
      </w:r>
      <w:r>
        <w:rPr>
          <w:b w:val="0"/>
          <w:i w:val="0"/>
        </w:rPr>
        <w:t xml:space="preserve"> Insulin and acid-base status both shift potassium across the cell membrane, so serum potassium may be raised while total-body potassium is depleted and the serum value can mislead.</w:t>
      </w:r>
    </w:p>
    <w:p>
      <w:pPr>
        <w:spacing w:after="120"/>
      </w:pPr>
      <w:r>
        <w:rPr>
          <w:b/>
          <w:i w:val="0"/>
        </w:rPr>
        <w:t>Potassium extremes.</w:t>
      </w:r>
      <w:r>
        <w:rPr>
          <w:b w:val="0"/>
          <w:i w:val="0"/>
        </w:rPr>
        <w:t xml:space="preserve"> Potassium maintains membrane electrical potential, so both hyperkalemia and hypokalemia can cause life-threatening cardiac arrhythmias.</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spacing w:after="120"/>
      </w:pPr>
      <w:r>
        <w:rPr>
          <w:b/>
          <w:i w:val="0"/>
        </w:rPr>
        <w:t>Bicarbonate.</w:t>
      </w:r>
      <w:r>
        <w:rPr>
          <w:b w:val="0"/>
          <w:i w:val="0"/>
        </w:rPr>
        <w:t xml:space="preserve"> It is the primary extracellular buffer, maintaining acid-base balance, and it also helps transport carbon dioxide in the bloodstream.</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hyperglycemia </w:t>
      </w:r>
      <w:r>
        <w:rPr>
          <w:b/>
          <w:i w:val="0"/>
        </w:rPr>
        <w:t>lowers the measured sodium by dilution</w:t>
      </w:r>
      <w:r>
        <w:rPr>
          <w:b w:val="0"/>
          <w:i w:val="0"/>
        </w:rPr>
        <w:t xml:space="preserve"> and drives osmolality.</w:t>
      </w:r>
    </w:p>
    <w:p>
      <w:pPr>
        <w:spacing w:after="120"/>
      </w:pPr>
      <w:r>
        <w:rPr>
          <w:b/>
          <w:i w:val="0"/>
        </w:rPr>
        <w:t>Glucose regulation beyond the pancreas.</w:t>
      </w:r>
      <w:r>
        <w:rPr>
          <w:b w:val="0"/>
          <w:i w:val="0"/>
        </w:rPr>
        <w:t xml:space="preserve"> Glucose is balanced by insulin and by glucagon and the counter-regulatory hormones, and the kidney also contributes through gluconeogenesis.</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i w:val="0"/>
        </w:rPr>
        <w:t>Reading blood urea nitrogen.</w:t>
      </w:r>
      <w:r>
        <w:rPr>
          <w:b w:val="0"/>
          <w:i w:val="0"/>
        </w:rPr>
        <w:t xml:space="preserve"> Interpret it alongside creatinine, not alone. Urea nitrogen alone cannot distinguish dehydration or a protein load from kidney failure; the ratio to creatinine separates them.</w:t>
      </w:r>
    </w:p>
    <w:p>
      <w:pPr>
        <w:spacing w:after="120"/>
      </w:pPr>
      <w:r>
        <w:rPr>
          <w:b/>
          <w:i w:val="0"/>
        </w:rPr>
        <w:t>Creatinine interpretation.</w:t>
      </w:r>
      <w:r>
        <w:rPr>
          <w:b w:val="0"/>
          <w:i w:val="0"/>
        </w:rPr>
        <w:t xml:space="preserve"> Creatinine comes from muscle metabolism, so an elderly or cachectic patient with little muscle generates less and may have a normal-looking value that conceals reduced filtration.</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spacing w:after="120"/>
      </w:pPr>
      <w:r>
        <w:rPr>
          <w:b/>
          <w:i w:val="0"/>
        </w:rPr>
        <w:t>Intrinsic renal failure.</w:t>
      </w:r>
      <w:r>
        <w:rPr>
          <w:b w:val="0"/>
          <w:i w:val="0"/>
        </w:rPr>
        <w:t xml:space="preserve"> A blood urea nitrogen to creatinine ratio below 20 to 1 places the damage in the kidney itself. High potassium and low bicarbonate are the expected consequences of failing excretion.</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p>
      <w:pPr>
        <w:spacing w:after="120"/>
      </w:pPr>
      <w:r>
        <w:rPr>
          <w:b/>
          <w:i w:val="0"/>
        </w:rPr>
        <w:t>Synthetic function versus injury.</w:t>
      </w:r>
      <w:r>
        <w:rPr>
          <w:b w:val="0"/>
          <w:i w:val="0"/>
        </w:rPr>
        <w:t xml:space="preserve"> Albumin and clotting factors are made by the liver, so a low albumin and prolonged clotting time measure how well it works. Near-normal transaminases show little ongoing hepatocyte injury; function and injury are separate axes.</w:t>
      </w:r>
    </w:p>
    <w:p>
      <w:pPr>
        <w:spacing w:after="120"/>
      </w:pPr>
      <w:r>
        <w:rPr>
          <w:b/>
          <w:i w:val="0"/>
        </w:rPr>
        <w:t>Imaging after abnormal liver tests.</w:t>
      </w:r>
      <w:r>
        <w:rPr>
          <w:b w:val="0"/>
          <w:i w:val="0"/>
        </w:rPr>
        <w:t xml:space="preserve"> Abnormal liver tests lead to imaging that starts with ultrasound, for steatosis and biliary dilation, then computed tomography or magnetic resonance.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hemolysis</w:t>
            </w:r>
          </w:p>
        </w:tc>
      </w:tr>
    </w:tbl>
    <w:p>
      <w:pPr>
        <w:spacing w:after="80"/>
      </w:pPr>
    </w:p>
    <w:p>
      <w:pPr>
        <w:spacing w:after="120"/>
      </w:pPr>
      <w:r>
        <w:rPr>
          <w:b/>
          <w:i w:val="0"/>
        </w:rPr>
        <w:t>Transaminases in the thousands.</w:t>
      </w:r>
      <w:r>
        <w:rPr>
          <w:b w:val="0"/>
          <w:i w:val="0"/>
        </w:rPr>
        <w:t xml:space="preserve"> They have only three causes: viral, ischemic and toxic. With alkaline phosphatase barely moved the pattern is hepatocellular rather than cholestatic, and alanine exceeding aspartate fits acute viral hepatitis.</w:t>
      </w:r>
    </w:p>
    <w:p>
      <w:pPr>
        <w:spacing w:after="120"/>
      </w:pPr>
      <w:r>
        <w:rPr>
          <w:b/>
          <w:i w:val="0"/>
        </w:rPr>
        <w:t>Cholestatic pattern.</w:t>
      </w:r>
      <w:r>
        <w:rPr>
          <w:b w:val="0"/>
          <w:i w:val="0"/>
        </w:rPr>
        <w:t xml:space="preserve"> Alkaline phosphatase raised far out of proportion to the transaminases is the cholestatic signature, a process obstructing bile flow. A high gamma-glutamyl transferase confirms the alkaline phosphatase is hepatic rather than bone.</w:t>
      </w: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ischemia, toxins</w:t>
      </w:r>
      <w:r>
        <w:rPr>
          <w:b w:val="0"/>
          <w:i w:val="0"/>
        </w:rPr>
        <w:t>. Magnitude bands: mild under 5×, moderate 5–15×, severe over 15× the upper limit.</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i w:val="0"/>
        </w:rPr>
        <w:t>Abnormal panel values.</w:t>
      </w:r>
      <w:r>
        <w:rPr>
          <w:b w:val="0"/>
          <w:i w:val="0"/>
        </w:rPr>
        <w:t xml:space="preserve"> Any single or combined abnormality usually leads to confirmatory testing, since a single abnormal value is a screening signal rather than a diagnosis.</w:t>
      </w:r>
    </w:p>
    <w:p>
      <w:pPr>
        <w:spacing w:after="120"/>
      </w:pPr>
      <w:r>
        <w:rPr>
          <w:b/>
          <w:i w:val="0"/>
        </w:rPr>
        <w:t>Renal pattern.</w:t>
      </w:r>
      <w:r>
        <w:rPr>
          <w:b w:val="0"/>
          <w:i w:val="0"/>
        </w:rPr>
        <w:t xml:space="preserve"> Beyond rising urea nitrogen and creatinine, it adds a raised potassium and phosphate, a lowered calcium, metabolic acidosis and albuminuria.</w:t>
      </w:r>
    </w:p>
    <w:p>
      <w:pPr>
        <w:spacing w:after="120"/>
      </w:pPr>
      <w:r>
        <w:rPr>
          <w:b/>
          <w:i w:val="0"/>
        </w:rPr>
        <w:t>Hypercalcemia of malignancy.</w:t>
      </w:r>
      <w:r>
        <w:rPr>
          <w:b w:val="0"/>
          <w:i w:val="0"/>
        </w:rPr>
        <w:t xml:space="preserve"> A genuinely high calcium with a normal albumin (so not an artifact of protein binding) in someone with a known cancer points to hypercalcemia of malignancy; low phosphate and rising creatinine fit, and confusion and constipation are the classic symptoms.</w:t>
      </w:r>
    </w:p>
    <w:p>
      <w:pPr>
        <w:spacing w:after="120"/>
      </w:pPr>
      <w:r>
        <w:rPr>
          <w:b/>
          <w:i w:val="0"/>
        </w:rPr>
        <w:t>Stepwise read of an abnormal comprehensive metabolic panel.</w:t>
      </w:r>
      <w:r>
        <w:rPr>
          <w:b w:val="0"/>
          <w:i w:val="0"/>
        </w:rPr>
        <w:t xml:space="preserve"> Start with the electrolytes and acid-base group (sodium, potassium, chloride, bicarbonate), then calculate the anion gap; then renal, glucose, liver and finally calcium.</w:t>
      </w: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Potassium and pH.</w:t>
      </w:r>
      <w:r>
        <w:rPr>
          <w:b w:val="0"/>
          <w:i w:val="0"/>
          <w:sz w:val="20"/>
        </w:rPr>
        <w:t xml:space="preserve"> Alkalosis shifts potassium into cells and lowers the serum level, while acidosis shifts it out of cells and raises the serum level.</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uremia, diabetic ketoacidosis, paraldehyde and propylene glycol, isoniazid and iron, lactic acidosis, ethylene glycol, salicylates. </w:t>
            </w:r>
            <w:r>
              <w:rPr>
                <w:b/>
                <w:i w:val="0"/>
              </w:rPr>
              <w:t>Normal gap</w:t>
            </w:r>
            <w:r>
              <w:rPr>
                <w:b w:val="0"/>
                <w:i w:val="0"/>
              </w:rPr>
              <w:t xml:space="preserve"> → bicarbonate loss from gut or kidney, i.e. hyperchloremic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spacing w:after="120"/>
      </w:pPr>
      <w:r>
        <w:rPr>
          <w:b/>
          <w:i w:val="0"/>
        </w:rPr>
        <w:t>Anion gap calculation.</w:t>
      </w:r>
      <w:r>
        <w:rPr>
          <w:b w:val="0"/>
          <w:i w:val="0"/>
        </w:rPr>
        <w:t xml:space="preserve"> Sodium minus the sum of chloride and bicarbonate gives the gap. For sodium 138, chloride 104 and bicarbonate 24 milliequivalents per liter it is 10, within the normal range of 8 to 12.</w:t>
      </w:r>
    </w:p>
    <w:p>
      <w:pPr>
        <w:spacing w:after="120"/>
      </w:pPr>
      <w:r>
        <w:rPr>
          <w:b/>
          <w:i w:val="0"/>
        </w:rPr>
        <w:t>Normal anion gap.</w:t>
      </w:r>
      <w:r>
        <w:rPr>
          <w:b w:val="0"/>
          <w:i w:val="0"/>
        </w:rPr>
        <w:t xml:space="preserve"> Using the standard formula, which leaves potassium out of the calculation, the normal range is 8 to 12 milliequivalents per liter.</w:t>
      </w:r>
    </w:p>
    <w:p>
      <w:pPr>
        <w:spacing w:after="120"/>
      </w:pPr>
      <w:r>
        <w:rPr>
          <w:b/>
          <w:i w:val="0"/>
        </w:rPr>
        <w:t>Calculating the anion gap.</w:t>
      </w:r>
      <w:r>
        <w:rPr>
          <w:b w:val="0"/>
          <w:i w:val="0"/>
        </w:rPr>
        <w:t xml:space="preserve"> Gap = sodium − (chloride + bicarbonate); for example 140 − (98 + 12) = 30, against a normal of 8 to 12. A raised gap means unmeasured acids: acid added rather than bicarbonate lost.</w:t>
      </w:r>
    </w:p>
    <w:p>
      <w:pPr>
        <w:spacing w:after="120"/>
      </w:pPr>
      <w:r>
        <w:rPr>
          <w:b/>
          <w:i w:val="0"/>
        </w:rPr>
        <w:t>Urine pH in normal anion gap metabolic acidosis.</w:t>
      </w:r>
      <w:r>
        <w:rPr>
          <w:b w:val="0"/>
          <w:i w:val="0"/>
        </w:rPr>
        <w:t xml:space="preserve"> In acidosis the urine should be maximally acidic; a pH of 6.8 suggests renal tubular acidosis, because the kidney is failing to excrete acid (an inappropriately alkaline urine).</w:t>
      </w:r>
    </w:p>
    <w:p>
      <w:pPr>
        <w:spacing w:after="120"/>
      </w:pPr>
      <w:r>
        <w:rPr>
          <w:b/>
          <w:i w:val="0"/>
        </w:rPr>
        <w:t>Diabetic ketoacidosis.</w:t>
      </w:r>
      <w:r>
        <w:rPr>
          <w:b w:val="0"/>
          <w:i w:val="0"/>
        </w:rPr>
        <w:t xml:space="preserve"> Findings are high glucose, low bicarbonate and ketones in the urine, with a raised anion gap (normal 8 to 12) because the unmeasured acids are the ketones; deep rapid breathing is respiratory compensation.</w:t>
      </w:r>
    </w:p>
    <w:p>
      <w:pPr>
        <w:spacing w:after="120"/>
      </w:pPr>
      <w:r>
        <w:rPr>
          <w:b/>
          <w:i w:val="0"/>
        </w:rPr>
        <w:t>Raised anion gap.</w:t>
      </w:r>
      <w:r>
        <w:rPr>
          <w:b w:val="0"/>
          <w:i w:val="0"/>
        </w:rPr>
        <w:t xml:space="preserve"> A wide gap suggests an increase in unmeasured acids, as with lactate, ketoacids or an ingested toxin.</w:t>
      </w:r>
    </w:p>
    <w:p>
      <w:pPr>
        <w:spacing w:after="120"/>
      </w:pPr>
      <w:r>
        <w:rPr>
          <w:b/>
          <w:i w:val="0"/>
        </w:rPr>
        <w:t>Anion gap with low albumin.</w:t>
      </w:r>
      <w:r>
        <w:rPr>
          <w:b w:val="0"/>
          <w:i w:val="0"/>
        </w:rPr>
        <w:t xml:space="preserve"> Correct the gap upward by about 2.5 for every one gram per deciliter the albumin has fallen.</w:t>
      </w: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edema, jaundice, confusion, nausea and vomiting; acute illness with dehydration or a suspected acid-base disorder; and assessment of volume status.</w:t>
      </w:r>
    </w:p>
    <w:p>
      <w:pPr>
        <w:spacing w:after="120"/>
      </w:pPr>
      <w:r>
        <w:rPr>
          <w:b/>
          <w:i w:val="0"/>
        </w:rPr>
        <w:t>Hyperkalemia.</w:t>
      </w:r>
      <w:r>
        <w:rPr>
          <w:b w:val="0"/>
          <w:i w:val="0"/>
        </w:rPr>
        <w:t xml:space="preserve"> The kidney excretes potassium with essentially no reabsorption, so reduced clearance plus drugs that block its excretion is a common route to it. Small serum changes have large effects; peaked T waves show the membrane is affected and urgent treatment is needed.</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Localizes it: </w:t>
            </w:r>
            <w:r>
              <w:rPr>
                <w:b/>
                <w:i w:val="0"/>
                <w:sz w:val="18"/>
              </w:rPr>
              <w:t>&lt;20</w:t>
            </w:r>
            <w:r>
              <w:rPr>
                <w:b w:val="0"/>
                <w:i w:val="0"/>
                <w:sz w:val="18"/>
              </w:rPr>
              <w:t xml:space="preserve"> suggests hypovolemia;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p>
      <w:pPr>
        <w:spacing w:after="120"/>
      </w:pPr>
      <w:r>
        <w:rPr>
          <w:b/>
          <w:i w:val="0"/>
        </w:rPr>
        <w:t>Core tests of water and electrolyte balance.</w:t>
      </w:r>
      <w:r>
        <w:rPr>
          <w:b w:val="0"/>
          <w:i w:val="0"/>
        </w:rPr>
        <w:t xml:space="preserve"> The four are serum sodium, serum osmolality, urine sodium and osmolality, and the urea nitrogen to creatinine ratio, which together locate the problem.</w:t>
      </w:r>
    </w:p>
    <w:p>
      <w:pPr>
        <w:spacing w:after="120"/>
      </w:pPr>
      <w:r>
        <w:rPr>
          <w:b/>
          <w:i w:val="0"/>
        </w:rPr>
        <w:t>Diabetes insipidus.</w:t>
      </w:r>
      <w:r>
        <w:rPr>
          <w:b w:val="0"/>
          <w:i w:val="0"/>
        </w:rPr>
        <w:t xml:space="preserve"> Dilute urine while the serum sodium is high is the giveaway: the kidney is shedding water it should be keeping because antidiuretic effect is missing or unheard. Normal glucose rules out the osmotic alternative.</w:t>
      </w:r>
    </w:p>
    <w:p>
      <w:pPr>
        <w:spacing w:after="120"/>
      </w:pPr>
      <w:r>
        <w:rPr>
          <w:b/>
          <w:i w:val="0"/>
        </w:rPr>
        <w:t>Electrocardiogram in ketoacidosis.</w:t>
      </w:r>
      <w:r>
        <w:rPr>
          <w:b w:val="0"/>
          <w:i w:val="0"/>
        </w:rPr>
        <w:t xml:space="preserve"> The workup includes an electrocardiogram to look for the cardiac effects of a raised potassium, because both high and low potassium can cause life-threatening arrhythmias.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Hyperglycemia lowers the measured sodium</w:t>
            </w:r>
            <w:r>
              <w:rPr>
                <w:b w:val="0"/>
                <w:i w:val="0"/>
              </w:rPr>
              <w:t xml:space="preserve"> by about 1.6–2 mEq/L per 100 mg/dL of glucose above normal — use a corrected sodium, from a calculator. </w:t>
            </w:r>
            <w:r>
              <w:rPr>
                <w:b/>
                <w:i w:val="0"/>
              </w:rPr>
              <w:t>Pseudohyponatremia</w:t>
            </w:r>
            <w:r>
              <w:rPr>
                <w:b w:val="0"/>
                <w:i w:val="0"/>
              </w:rPr>
              <w:t xml:space="preserve"> from severe hyperlipidemia or hyperproteinemia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spacing w:after="120"/>
      </w:pPr>
      <w:r>
        <w:rPr>
          <w:b/>
          <w:i w:val="0"/>
        </w:rPr>
        <w:t>Sodium in uncontrolled hyperglycemia.</w:t>
      </w:r>
      <w:r>
        <w:rPr>
          <w:b w:val="0"/>
          <w:i w:val="0"/>
        </w:rPr>
        <w:t xml:space="preserve"> Glucose pulls water into the vascular space, lowering measured sodium by roughly 1.6 to 2 mEq/L for every 100 mg/dL above normal. The sodium corrects once the glucose is treated, and a high osmolality shows the patient is not water-overloaded.</w:t>
      </w: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spacing w:after="120"/>
      </w:pPr>
      <w:r>
        <w:rPr>
          <w:b/>
          <w:i w:val="0"/>
        </w:rPr>
        <w:t>Nephron.</w:t>
      </w:r>
      <w:r>
        <w:rPr>
          <w:b w:val="0"/>
          <w:i w:val="0"/>
        </w:rPr>
        <w:t xml:space="preserve"> A nephron is made up of two structures, a glomerulus and a tubule.</w:t>
      </w:r>
    </w:p>
    <w:p>
      <w:pPr>
        <w:spacing w:after="120"/>
      </w:pPr>
      <w:r>
        <w:rPr>
          <w:b/>
          <w:i w:val="0"/>
        </w:rPr>
        <w:t>Urine formation.</w:t>
      </w:r>
      <w:r>
        <w:rPr>
          <w:b w:val="0"/>
          <w:i w:val="0"/>
        </w:rPr>
        <w:t xml:space="preserve"> Whatever fluid and waste the tubules do not reabsorb is excreted as urine.</w:t>
      </w:r>
    </w:p>
    <w:p>
      <w:pPr>
        <w:pStyle w:val="Heading2"/>
        <w:spacing w:before="200" w:after="100"/>
      </w:pPr>
      <w:r>
        <w:rPr>
          <w:rFonts w:ascii="Georgia" w:hAnsi="Georgia"/>
          <w:color w:val="69406C"/>
        </w:rPr>
        <w:t>6.2 · Inspection — color, transparency, odor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anesthetics</w:t>
            </w:r>
          </w:p>
        </w:tc>
      </w:tr>
    </w:tbl>
    <w:p>
      <w:pPr>
        <w:spacing w:after="80"/>
      </w:pPr>
    </w:p>
    <w:p>
      <w:pPr>
        <w:spacing w:after="120"/>
      </w:pPr>
      <w:r>
        <w:rPr>
          <w:b w:val="0"/>
          <w:i w:val="0"/>
        </w:rPr>
        <w:t xml:space="preserve">The medication colors are a </w:t>
      </w:r>
      <w:r>
        <w:rPr>
          <w:b/>
          <w:i w:val="0"/>
        </w:rPr>
        <w:t>patient education point</w:t>
      </w:r>
      <w:r>
        <w:rPr>
          <w:b w:val="0"/>
          <w:i w:val="0"/>
        </w:rPr>
        <w:t>: tell the patient before they start, so a startling color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color against what it suggests. Note the food causes of red urine — beets , blueberries and rhubarb — and that fizzing points to protein. Lecture 6 · Slide 7</w:t>
      </w:r>
    </w:p>
    <w:p>
      <w:pPr>
        <w:spacing w:after="120"/>
      </w:pPr>
      <w:r>
        <w:rPr>
          <w:b/>
          <w:i w:val="0"/>
        </w:rPr>
        <w:t>Foamy urine.</w:t>
      </w:r>
      <w:r>
        <w:rPr>
          <w:b w:val="0"/>
          <w:i w:val="0"/>
        </w:rPr>
        <w:t xml:space="preserve"> Foam is associated with protein in the urine, so it suggests proteinuria.</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odor suggests bacterial infection; a </w:t>
      </w:r>
      <w:r>
        <w:rPr>
          <w:b/>
          <w:i w:val="0"/>
        </w:rPr>
        <w:t>fecal</w:t>
      </w:r>
      <w:r>
        <w:rPr>
          <w:b w:val="0"/>
          <w:i w:val="0"/>
        </w:rPr>
        <w:t xml:space="preserve"> odor suggests an enterovesical fistula; a </w:t>
      </w:r>
      <w:r>
        <w:rPr>
          <w:b/>
          <w:i w:val="0"/>
        </w:rPr>
        <w:t>fruity or sweet</w:t>
      </w:r>
      <w:r>
        <w:rPr>
          <w:b w:val="0"/>
          <w:i w:val="0"/>
        </w:rPr>
        <w:t xml:space="preserve"> odor means ketones, and sends you to the blood sugar.</w:t>
      </w:r>
    </w:p>
    <w:p>
      <w:pPr>
        <w:spacing w:after="120"/>
      </w:pPr>
      <w:r>
        <w:rPr>
          <w:b/>
          <w:i w:val="0"/>
        </w:rPr>
        <w:t>Fecal-smelling urine.</w:t>
      </w:r>
      <w:r>
        <w:rPr>
          <w:b w:val="0"/>
          <w:i w:val="0"/>
        </w:rPr>
        <w:t xml:space="preserve"> It should raise consideration of a fistula between bowel and bladder (enterovesical fistula), which lets bowel contents reach the bladder.</w:t>
      </w:r>
    </w:p>
    <w:p>
      <w:pPr>
        <w:spacing w:after="120"/>
      </w:pPr>
      <w:r>
        <w:rPr>
          <w:b/>
          <w:i w:val="0"/>
        </w:rPr>
        <w:t>Ammonia smell in a standing specimen.</w:t>
      </w:r>
      <w:r>
        <w:rPr>
          <w:b w:val="0"/>
          <w:i w:val="0"/>
        </w:rPr>
        <w:t xml:space="preserve"> A specimen that smells strongly of ammonia after standing reflects bacteria breaking down the urea as it stood.</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spacing w:after="120"/>
      </w:pPr>
      <w:r>
        <w:rPr>
          <w:b/>
          <w:i w:val="0"/>
        </w:rPr>
        <w:t>Normal urinalysis.</w:t>
      </w:r>
      <w:r>
        <w:rPr>
          <w:b w:val="0"/>
          <w:i w:val="0"/>
        </w:rPr>
        <w:t xml:space="preserve"> Six pads should read negative (leukocyte esterase, nitrites, ketones, glucose, blood and bilirubin) with protein negative or trace, and specific gravity and pH, which always carry a value, in range.</w:t>
      </w: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Alkalinize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spacing w:after="120"/>
      </w:pPr>
      <w:r>
        <w:rPr>
          <w:b/>
          <w:i w:val="0"/>
        </w:rPr>
        <w:t>Kidneys and pH balance.</w:t>
      </w:r>
      <w:r>
        <w:rPr>
          <w:b w:val="0"/>
          <w:i w:val="0"/>
        </w:rPr>
        <w:t xml:space="preserve"> The kidneys mainly maintain pH by excreting hydrogen ions and keeping bicarbonate: acid out, bicarbonate kept and made.</w:t>
      </w:r>
    </w:p>
    <w:p>
      <w:pPr>
        <w:spacing w:after="120"/>
      </w:pPr>
      <w:r>
        <w:rPr>
          <w:b/>
          <w:i w:val="0"/>
        </w:rPr>
        <w:t>Uric acid stones.</w:t>
      </w:r>
      <w:r>
        <w:rPr>
          <w:b w:val="0"/>
          <w:i w:val="0"/>
        </w:rPr>
        <w:t xml:space="preserve"> Management aims to make the urine more alkaline; alkalinizing the urine is the treatment.</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Dipstick pattern of infection.</w:t>
      </w:r>
      <w:r>
        <w:rPr>
          <w:b w:val="0"/>
          <w:i w:val="0"/>
        </w:rPr>
        <w:t xml:space="preserve"> Positive leukocyte esterase, nitrites and blood, with glucose, bilirubin, ketones and protein all negative, fits a urinary tract infection: pyuria with nitrites and blood and nothing pointing elsewhere.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p>
      <w:pPr>
        <w:spacing w:after="120"/>
      </w:pPr>
      <w:r>
        <w:rPr>
          <w:b/>
          <w:i w:val="0"/>
        </w:rPr>
        <w:t>Urinary nitrites.</w:t>
      </w:r>
      <w:r>
        <w:rPr>
          <w:b w:val="0"/>
          <w:i w:val="0"/>
        </w:rPr>
        <w:t xml:space="preserve"> Nitrites appear when bacteria reduce urinary nitrates to nitrites; bacterial reductase performs the conversion.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emphasized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spacing w:after="120"/>
      </w:pPr>
      <w:r>
        <w:rPr>
          <w:b/>
          <w:i w:val="0"/>
        </w:rPr>
        <w:t>Why a negative nitrite does not exclude infection.</w:t>
      </w:r>
      <w:r>
        <w:rPr>
          <w:b w:val="0"/>
          <w:i w:val="0"/>
        </w:rPr>
        <w:t xml:space="preserve"> Escherichia coli, the commonest organism, is rarely urease-positive and so does not turn the pad positive.</w:t>
      </w:r>
    </w:p>
    <w:p>
      <w:pPr>
        <w:spacing w:after="120"/>
      </w:pPr>
      <w:r>
        <w:rPr>
          <w:b/>
          <w:i w:val="0"/>
        </w:rPr>
        <w:t>Negative urine nitrite.</w:t>
      </w:r>
      <w:r>
        <w:rPr>
          <w:b w:val="0"/>
          <w:i w:val="0"/>
        </w:rPr>
        <w:t xml:space="preserve"> It does not exclude infection, because nitrite sensitivity is only about 50% and the commonest organism is rarely a nitrite producer. With symptoms and a positive leukocyte esterase, still send culture and sensitivity.</w:t>
      </w: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metabolized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Sweet-smelling urine with ketones and glucose.</w:t>
      </w:r>
      <w:r>
        <w:rPr>
          <w:b w:val="0"/>
          <w:i w:val="0"/>
        </w:rPr>
        <w:t xml:space="preserve"> This fits uncontrolled diabetes mellitus, with glucose spilling alongside ketones from fatty acid metabolism.</w:t>
      </w:r>
    </w:p>
    <w:p>
      <w:pPr>
        <w:spacing w:after="120"/>
      </w:pPr>
      <w:r>
        <w:rPr>
          <w:b/>
          <w:i w:val="0"/>
        </w:rPr>
        <w:t>Ketonuria.</w:t>
      </w:r>
      <w:r>
        <w:rPr>
          <w:b w:val="0"/>
          <w:i w:val="0"/>
        </w:rPr>
        <w:t xml:space="preserve"> It indicates cells are metabolizing fatty acids instead of glucose; ketones are the by-product of that switch.</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deciliter.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spacing w:after="120"/>
      </w:pPr>
      <w:r>
        <w:rPr>
          <w:b/>
          <w:i w:val="0"/>
        </w:rPr>
        <w:t>Glucose in urine with dextrose.</w:t>
      </w:r>
      <w:r>
        <w:rPr>
          <w:b w:val="0"/>
          <w:i w:val="0"/>
        </w:rPr>
        <w:t xml:space="preserve"> Glucosuria is expected, a recognized and normal explanation, in a patient receiving intravenous fluids containing dextrose.</w:t>
      </w:r>
    </w:p>
    <w:p>
      <w:pPr>
        <w:spacing w:after="120"/>
      </w:pPr>
      <w:r>
        <w:rPr>
          <w:b/>
          <w:i w:val="0"/>
        </w:rPr>
        <w:t>Glucosuria with normal serum glucose.</w:t>
      </w:r>
      <w:r>
        <w:rPr>
          <w:b w:val="0"/>
          <w:i w:val="0"/>
        </w:rPr>
        <w:t xml:space="preserve"> Renal disease that impairs tubular reabsorption can produce glucosuria even when the serum glucose is within normal limits; the leak is tubular rather than a high blood level.</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Blood pad on a reagent strip.</w:t>
      </w:r>
      <w:r>
        <w:rPr>
          <w:b w:val="0"/>
          <w:i w:val="0"/>
        </w:rPr>
        <w:t xml:space="preserve"> The blood pad detects heme, which is present in all three of the possible sources of blood.</w:t>
      </w:r>
    </w:p>
    <w:p>
      <w:pPr>
        <w:spacing w:after="120"/>
      </w:pPr>
      <w:r>
        <w:rPr>
          <w:b/>
          <w:i w:val="0"/>
        </w:rPr>
        <w:t>Positive urine blood pad.</w:t>
      </w:r>
      <w:r>
        <w:rPr>
          <w:b w:val="0"/>
          <w:i w:val="0"/>
        </w:rPr>
        <w:t xml:space="preserve"> The pad cannot tell which source is responsible, because it does not differentiate between them.</w:t>
      </w:r>
    </w:p>
    <w:p>
      <w:pPr>
        <w:spacing w:after="120"/>
      </w:pPr>
      <w:r>
        <w:rPr>
          <w:b/>
          <w:i w:val="0"/>
        </w:rPr>
        <w:t>Myoglobinuria.</w:t>
      </w:r>
      <w:r>
        <w:rPr>
          <w:b w:val="0"/>
          <w:i w:val="0"/>
        </w:rPr>
        <w:t xml:space="preserve"> The myoglobin comes from damaged skeletal muscle; muscle injury releases it.</w:t>
      </w:r>
    </w:p>
    <w:p>
      <w:pPr>
        <w:spacing w:after="120"/>
      </w:pPr>
      <w:r>
        <w:rPr>
          <w:b/>
          <w:i w:val="0"/>
        </w:rPr>
        <w:t>Hemolytic anemia.</w:t>
      </w:r>
      <w:r>
        <w:rPr>
          <w:b w:val="0"/>
          <w:i w:val="0"/>
        </w:rPr>
        <w:t xml:space="preserve"> A high reticulocyte count with a raised unconjugated bilirubin and an undetectable haptoglobin is the hemolysis triad: cells are being destroyed, free hemoglobin mops up the haptoglobin, and the marrow compensates hard.</w:t>
      </w:r>
    </w:p>
    <w:p>
      <w:pPr>
        <w:spacing w:after="120"/>
      </w:pPr>
      <w:r>
        <w:rPr>
          <w:b/>
          <w:i w:val="0"/>
        </w:rPr>
        <w:t>Hemoglobinuria from intravascular hemolysis.</w:t>
      </w:r>
      <w:r>
        <w:rPr>
          <w:b w:val="0"/>
          <w:i w:val="0"/>
        </w:rPr>
        <w:t xml:space="preserve"> A positive blood pad with no red cells, a normal muscle enzyme, and high unconjugated bilirubin, a direct product of hemoglobin breakdown, indicate it; the bilirubin is the confirming test for this pigment.</w:t>
      </w:r>
    </w:p>
    <w:p>
      <w:pPr>
        <w:spacing w:after="120"/>
      </w:pPr>
      <w:r>
        <w:rPr>
          <w:b/>
          <w:i w:val="0"/>
        </w:rPr>
        <w:t>Positive blood pad without red cells.</w:t>
      </w:r>
      <w:r>
        <w:rPr>
          <w:b w:val="0"/>
          <w:i w:val="0"/>
        </w:rPr>
        <w:t xml:space="preserve"> With no red cells on microscopy and a raised serum creatine phosphokinase, the cause is myoglobinuria, because a raised creatine phosphokinase points to muscle.</w:t>
      </w: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Bilirubinuria.</w:t>
      </w:r>
      <w:r>
        <w:rPr>
          <w:b w:val="0"/>
          <w:i w:val="0"/>
        </w:rPr>
        <w:t xml:space="preserve"> It is valuable as a screening finding because it can precede visible jaundice by days.</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p>
      <w:pPr>
        <w:spacing w:after="120"/>
      </w:pPr>
      <w:r>
        <w:rPr>
          <w:b/>
          <w:i w:val="0"/>
        </w:rPr>
        <w:t>Heavy dipstick proteinuria.</w:t>
      </w:r>
      <w:r>
        <w:rPr>
          <w:b w:val="0"/>
          <w:i w:val="0"/>
        </w:rPr>
        <w:t xml:space="preserve"> The strip is semi-quantitative (trace, 1+, 2+ are graded estimates), so heavy proteinuria with low albumin and edema needs a twenty-four hour urine collection to quantify the protein.</w:t>
      </w:r>
    </w:p>
    <w:p>
      <w:pPr>
        <w:spacing w:after="120"/>
      </w:pPr>
      <w:r>
        <w:rPr>
          <w:b/>
          <w:i w:val="0"/>
        </w:rPr>
        <w:t>False positive protein pad.</w:t>
      </w:r>
      <w:r>
        <w:rPr>
          <w:b w:val="0"/>
          <w:i w:val="0"/>
        </w:rPr>
        <w:t xml:space="preserve"> Contamination by genital secretions is the recognized cause.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spacing w:after="120"/>
      </w:pPr>
      <w:r>
        <w:rPr>
          <w:b/>
          <w:i w:val="0"/>
        </w:rPr>
        <w:t>Negative dipstick protein.</w:t>
      </w:r>
      <w:r>
        <w:rPr>
          <w:b w:val="0"/>
          <w:i w:val="0"/>
        </w:rPr>
        <w:t xml:space="preserve"> Reagent strips detect albumin and are insensitive to the light chains of a paraprotein, so they miss Bence Jones protein; with a raised total protein and rouleaux, send urine protein electrophoresis.</w:t>
      </w:r>
    </w:p>
    <w:p>
      <w:pPr>
        <w:spacing w:after="120"/>
      </w:pPr>
      <w:r>
        <w:rPr>
          <w:b/>
          <w:i w:val="0"/>
        </w:rPr>
        <w:t>Negative dipstick protein with bone pain, anemia and raised total protein.</w:t>
      </w:r>
      <w:r>
        <w:rPr>
          <w:b w:val="0"/>
          <w:i w:val="0"/>
        </w:rPr>
        <w:t xml:space="preserve"> Send urine protein electrophoresis; a negative pad does not exclude light chains.</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Stones with urea-splitting infection.</w:t>
      </w:r>
      <w:r>
        <w:rPr>
          <w:b w:val="0"/>
          <w:i w:val="0"/>
        </w:rPr>
        <w:t xml:space="preserve"> Urease-producing bacteria split urea to ammonia, making alkaline urine in which struvite and triple phosphate stones form; the stone is a consequence of the infection, so the principle is to treat the infection.</w:t>
      </w:r>
    </w:p>
    <w:p>
      <w:pPr>
        <w:spacing w:after="120"/>
      </w:pPr>
      <w:r>
        <w:rPr>
          <w:b/>
          <w:i w:val="0"/>
        </w:rPr>
        <w:t>Glomerulonephritis on urinalysis.</w:t>
      </w:r>
      <w:r>
        <w:rPr>
          <w:b w:val="0"/>
          <w:i w:val="0"/>
        </w:rPr>
        <w:t xml:space="preserve"> In glomerulonephritis, blood and protein together, with dysmorphic red cells and red cell casts, localize the bleeding to the glomerulus, since casts form in the tubule and the cells came from above it. Preceding pharyngitis and hypertension complete the picture.</w:t>
      </w:r>
    </w:p>
    <w:p>
      <w:pPr>
        <w:spacing w:after="120"/>
      </w:pPr>
      <w:r>
        <w:rPr>
          <w:b/>
          <w:i w:val="0"/>
        </w:rPr>
        <w:t>Bacteria are significant</w:t>
      </w:r>
      <w:r>
        <w:rPr>
          <w:b w:val="0"/>
          <w:i w:val="0"/>
        </w:rPr>
        <w:t xml:space="preserve"> when the specimen came by straight catheterization,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colonized rather than acutely infected. Gram stain and culture are what make the diagnosis definitive.</w:t>
      </w:r>
    </w:p>
    <w:p>
      <w:pPr>
        <w:spacing w:after="120"/>
      </w:pPr>
      <w:r>
        <w:rPr>
          <w:b/>
          <w:i w:val="0"/>
        </w:rPr>
        <w:t>Bacteria with many squamous cells.</w:t>
      </w:r>
      <w:r>
        <w:rPr>
          <w:b w:val="0"/>
          <w:i w:val="0"/>
        </w:rPr>
        <w:t xml:space="preserve"> More than 20 squamous epithelial cells per high power field means skin and genital flora were picked up, so bacteria are probably contamination and the sample should be repeated, especially with negative leukocyte esterase and nitrites.</w:t>
      </w:r>
    </w:p>
    <w:p>
      <w:pPr>
        <w:spacing w:after="120"/>
      </w:pPr>
      <w:r>
        <w:rPr>
          <w:b/>
          <w:i w:val="0"/>
        </w:rPr>
        <w:t>Many squamous cells on urine microscopy.</w:t>
      </w:r>
      <w:r>
        <w:rPr>
          <w:b w:val="0"/>
          <w:i w:val="0"/>
        </w:rPr>
        <w:t xml:space="preserve"> More than twenty squamous epithelial cells per high power field means the specimen is likely contaminated and should be treated that way, especially when there are no symptoms.</w:t>
      </w:r>
    </w:p>
    <w:p>
      <w:pPr>
        <w:spacing w:after="120"/>
      </w:pPr>
      <w:r>
        <w:rPr>
          <w:b/>
          <w:i w:val="0"/>
        </w:rPr>
        <w:t>Bacteria with a long-term catheter.</w:t>
      </w:r>
      <w:r>
        <w:rPr>
          <w:b w:val="0"/>
          <w:i w:val="0"/>
        </w:rPr>
        <w:t xml:space="preserve"> Bacteria in the urine without symptoms in a patient with a longstanding indwelling catheter most likely represent catheter colonization, since long-term catheters are colonized.</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Dysuria, frequency and urgency with mild suprapubic tenderness.</w:t>
      </w:r>
      <w:r>
        <w:rPr>
          <w:b w:val="0"/>
          <w:i w:val="0"/>
        </w:rPr>
        <w:t xml:space="preserve"> When the patient is afebrile with no flank pain, the next step is urinalysis, which is quick and non-invasive.</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i w:val="0"/>
        </w:rPr>
        <w:t>Ketones on a urine dipstick.</w:t>
      </w:r>
      <w:r>
        <w:rPr>
          <w:b w:val="0"/>
          <w:i w:val="0"/>
        </w:rPr>
        <w:t xml:space="preserve"> Ketones mean cells are burning fatty acids instead of glucose, and the next step is always to check the blood glucose; with glucose also in the urine, uncontrolled diabetes is the working diagnosis until that number comes back.</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