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One exception she drew in the recording: the adult LDL-C goal is not a lab range, so know its two ends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21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slide 43’s Friedewald and non-HDL-C practice: </w:t>
                  </w:r>
                  <w:r>
                    <w:rPr>
                      <w:b w:val="0"/>
                      <w:i/>
                      <w:sz w:val="18"/>
                    </w:rPr>
                    <w:t>“there will be two things that you need to calculate … for our purposes, we’re gonna practice this.”</w:t>
                  </w:r>
                  <w:r>
                    <w:rPr>
                      <w:b w:val="0"/>
                      <w:i w:val="0"/>
                      <w:sz w:val="18"/>
                    </w:rPr>
                    <w:t xml:space="preserve"> Then </w:t>
                  </w:r>
                  <w:r>
                    <w:rPr>
                      <w:b w:val="0"/>
                      <w:i/>
                      <w:sz w:val="18"/>
                    </w:rPr>
                    <w:t>“You may use calculators,”</w:t>
                  </w:r>
                  <w:r>
                    <w:rPr>
                      <w:b w:val="0"/>
                      <w:i w:val="0"/>
                      <w:sz w:val="18"/>
                    </w:rPr>
                    <w:t xml:space="preserve"> and after the answers: </w:t>
                  </w:r>
                  <w:r>
                    <w:rPr>
                      <w:b w:val="0"/>
                      <w:i/>
                      <w:sz w:val="18"/>
                    </w:rPr>
                    <w:t>“So we had to do two calculations, and then we have to interpret.”</w:t>
                  </w:r>
                  <w:r>
                    <w:rPr>
                      <w:b w:val="0"/>
                      <w:i w:val="0"/>
                      <w:sz w:val="18"/>
                    </w:rPr>
                    <w:t xml:space="preserve"> The newer equations are </w:t>
                  </w:r>
                  <w:r>
                    <w:rPr>
                      <w:b w:val="0"/>
                      <w:i/>
                      <w:sz w:val="18"/>
                    </w:rPr>
                    <w:t>“more complicated. You can use a calculator for that.”</w:t>
                  </w:r>
                  <w:r>
                    <w:rPr>
                      <w:b w:val="0"/>
                      <w:i w:val="0"/>
                      <w:sz w:val="18"/>
                    </w:rPr>
                    <w:t xml:space="preserve"> [part 3, 6:03–9:48]</w:t>
                  </w:r>
                </w:p>
              </w:tc>
              <w:tc>
                <w:tcPr>
                  <w:tcW w:type="dxa" w:w="7272"/>
                </w:tcPr>
                <w:p>
                  <w:pPr>
                    <w:spacing w:after="40"/>
                  </w:pPr>
                  <w:r>
                    <w:rPr>
                      <w:sz w:val="18"/>
                    </w:rPr>
                  </w:r>
                  <w:r>
                    <w:rPr>
                      <w:b/>
                      <w:i w:val="0"/>
                      <w:sz w:val="18"/>
                    </w:rPr>
                    <w:t>These two calculations are examinable</w:t>
                  </w:r>
                  <w:r>
                    <w:rPr>
                      <w:b w:val="0"/>
                      <w:i w:val="0"/>
                      <w:sz w:val="18"/>
                    </w:rPr>
                    <w:t>: LDL-C = total − HDL-C − triglycerides ÷ 5, and non-HDL-C = total − HDL-C, then read each against the patient’s risk tier. Martin/Hopkins and Sampson are calculator-only. Unlike filtration rate and corrected sodium, which she ruled out in Lecture 5.</w:t>
                  </w:r>
                </w:p>
              </w:tc>
            </w:tr>
            <w:tr>
              <w:tc>
                <w:tcPr>
                  <w:tcW w:type="dxa" w:w="7272"/>
                </w:tcPr>
                <w:p>
                  <w:pPr>
                    <w:spacing w:after="40"/>
                  </w:pPr>
                  <w:r>
                    <w:rPr>
                      <w:sz w:val="18"/>
                    </w:rPr>
                  </w:r>
                  <w:r>
                    <w:rPr>
                      <w:b w:val="0"/>
                      <w:i w:val="0"/>
                      <w:sz w:val="18"/>
                    </w:rPr>
                    <w:t xml:space="preserve">Asked whether a normal would always be given: there is no one normal, </w:t>
                  </w:r>
                  <w:r>
                    <w:rPr>
                      <w:b w:val="0"/>
                      <w:i/>
                      <w:sz w:val="18"/>
                    </w:rPr>
                    <w:t>“so for this, you want to kind of have an idea of the difference between somebody who’s low risk and … high risk. So for LDL, if they’re low risk, less than 100 is our goal. If they’re high risk, less than 55.”</w:t>
                  </w:r>
                  <w:r>
                    <w:rPr>
                      <w:b w:val="0"/>
                      <w:i w:val="0"/>
                      <w:sz w:val="18"/>
                    </w:rPr>
                    <w:t xml:space="preserve"> [part 3, 10:36–11:04]</w:t>
                  </w:r>
                </w:p>
              </w:tc>
              <w:tc>
                <w:tcPr>
                  <w:tcW w:type="dxa" w:w="7272"/>
                </w:tcPr>
                <w:p>
                  <w:pPr>
                    <w:spacing w:after="40"/>
                  </w:pPr>
                  <w:r>
                    <w:rPr>
                      <w:sz w:val="18"/>
                    </w:rPr>
                  </w:r>
                  <w:r>
                    <w:rPr>
                      <w:b w:val="0"/>
                      <w:i w:val="0"/>
                      <w:sz w:val="18"/>
                    </w:rPr>
                    <w:t xml:space="preserve">Know the </w:t>
                  </w:r>
                  <w:r>
                    <w:rPr>
                      <w:b/>
                      <w:i w:val="0"/>
                      <w:sz w:val="18"/>
                    </w:rPr>
                    <w:t>LDL-C goal at each end</w:t>
                  </w:r>
                  <w:r>
                    <w:rPr>
                      <w:b w:val="0"/>
                      <w:i w:val="0"/>
                      <w:sz w:val="18"/>
                    </w:rPr>
                    <w:t>: under 100 mg/dL for an average-risk adult, under 55 at the highest risk. The deck’s middle tier is under 70 (9.5). “Golf, not bowling”: the higher the risk, the lower the target.</w:t>
                  </w:r>
                </w:p>
              </w:tc>
            </w:tr>
            <w:tr>
              <w:tc>
                <w:tcPr>
                  <w:tcW w:type="dxa" w:w="7272"/>
                </w:tcPr>
                <w:p>
                  <w:pPr>
                    <w:spacing w:after="40"/>
                  </w:pPr>
                  <w:r>
                    <w:rPr>
                      <w:sz w:val="18"/>
                    </w:rPr>
                  </w:r>
                  <w:r>
                    <w:rPr>
                      <w:b w:val="0"/>
                      <w:i/>
                      <w:sz w:val="18"/>
                    </w:rPr>
                    <w:t>“LDL is the big one that we care about … for risk stratification.”</w:t>
                  </w:r>
                  <w:r>
                    <w:rPr>
                      <w:b w:val="0"/>
                      <w:i w:val="0"/>
                      <w:sz w:val="18"/>
                    </w:rPr>
                    <w:t xml:space="preserve"> [part 3, 12:48] And for lipoprotein(a), which </w:t>
                  </w:r>
                  <w:r>
                    <w:rPr>
                      <w:b w:val="0"/>
                      <w:i/>
                      <w:sz w:val="18"/>
                    </w:rPr>
                    <w:t>“is bolded for a reason”</w:t>
                  </w:r>
                  <w:r>
                    <w:rPr>
                      <w:b w:val="0"/>
                      <w:i w:val="0"/>
                      <w:sz w:val="18"/>
                    </w:rPr>
                    <w:t xml:space="preserve"> [part 2, 1:24]: </w:t>
                  </w:r>
                  <w:r>
                    <w:rPr>
                      <w:b w:val="0"/>
                      <w:i/>
                      <w:sz w:val="18"/>
                    </w:rPr>
                    <w:t>“You can’t fix this with diet”</w:t>
                  </w:r>
                  <w:r>
                    <w:rPr>
                      <w:b w:val="0"/>
                      <w:i w:val="0"/>
                      <w:sz w:val="18"/>
                    </w:rPr>
                    <w:t xml:space="preserve">; once in a lifetime; if it is high, </w:t>
                  </w:r>
                  <w:r>
                    <w:rPr>
                      <w:b w:val="0"/>
                      <w:i/>
                      <w:sz w:val="18"/>
                    </w:rPr>
                    <w:t>“all of their first-degree relatives should be screened”</w:t>
                  </w:r>
                  <w:r>
                    <w:rPr>
                      <w:b w:val="0"/>
                      <w:i w:val="0"/>
                      <w:sz w:val="18"/>
                    </w:rPr>
                    <w:t xml:space="preserve"> — </w:t>
                  </w:r>
                  <w:r>
                    <w:rPr>
                      <w:b w:val="0"/>
                      <w:i/>
                      <w:sz w:val="18"/>
                    </w:rPr>
                    <w:t>“cascading screening.”</w:t>
                  </w:r>
                  <w:r>
                    <w:rPr>
                      <w:b w:val="0"/>
                      <w:i w:val="0"/>
                      <w:sz w:val="18"/>
                    </w:rPr>
                    <w:t xml:space="preserve"> [part 2, 2:23–5:15]</w:t>
                  </w:r>
                </w:p>
              </w:tc>
              <w:tc>
                <w:tcPr>
                  <w:tcW w:type="dxa" w:w="7272"/>
                </w:tcPr>
                <w:p>
                  <w:pPr>
                    <w:spacing w:after="40"/>
                  </w:pPr>
                  <w:r>
                    <w:rPr>
                      <w:sz w:val="18"/>
                    </w:rPr>
                  </w:r>
                  <w:r>
                    <w:rPr>
                      <w:b w:val="0"/>
                      <w:i w:val="0"/>
                      <w:sz w:val="18"/>
                    </w:rPr>
                    <w:t>Lipoprotein(a): genetic, measured once, cascade-test first-degree relatives, lifestyle does not lower it (9.6).</w:t>
                  </w:r>
                </w:p>
              </w:tc>
            </w:tr>
            <w:tr>
              <w:tc>
                <w:tcPr>
                  <w:tcW w:type="dxa" w:w="7272"/>
                </w:tcPr>
                <w:p>
                  <w:pPr>
                    <w:spacing w:after="40"/>
                  </w:pPr>
                  <w:r>
                    <w:rPr>
                      <w:sz w:val="18"/>
                    </w:rPr>
                  </w:r>
                  <w:r>
                    <w:rPr>
                      <w:b w:val="0"/>
                      <w:i/>
                      <w:sz w:val="18"/>
                    </w:rPr>
                    <w:t>“When you hear CRP, think inflammation, period.”</w:t>
                  </w:r>
                  <w:r>
                    <w:rPr>
                      <w:b w:val="0"/>
                      <w:i w:val="0"/>
                      <w:sz w:val="18"/>
                    </w:rPr>
                    <w:t xml:space="preserve"> [part 1, 0:40] </w:t>
                  </w:r>
                  <w:r>
                    <w:rPr>
                      <w:b w:val="0"/>
                      <w:i/>
                      <w:sz w:val="18"/>
                    </w:rPr>
                    <w:t>“When you hear BNP … think stretch and therefore volume.”</w:t>
                  </w:r>
                  <w:r>
                    <w:rPr>
                      <w:b w:val="0"/>
                      <w:i w:val="0"/>
                      <w:sz w:val="18"/>
                    </w:rPr>
                    <w:t xml:space="preserve"> [part 1, 2:07] </w:t>
                  </w:r>
                  <w:r>
                    <w:rPr>
                      <w:b w:val="0"/>
                      <w:i/>
                      <w:sz w:val="18"/>
                    </w:rPr>
                    <w:t>“Troponin is your friend. When you’re worried about any kind of injury, any kind of ischemia to the heart, troponin is what you want to be ordering.”</w:t>
                  </w:r>
                  <w:r>
                    <w:rPr>
                      <w:b w:val="0"/>
                      <w:i w:val="0"/>
                      <w:sz w:val="18"/>
                    </w:rPr>
                    <w:t xml:space="preserve"> [part 1, 7:50]</w:t>
                  </w:r>
                </w:p>
              </w:tc>
              <w:tc>
                <w:tcPr>
                  <w:tcW w:type="dxa" w:w="7272"/>
                </w:tcPr>
                <w:p>
                  <w:pPr>
                    <w:spacing w:after="40"/>
                  </w:pPr>
                  <w:r>
                    <w:rPr>
                      <w:sz w:val="18"/>
                    </w:rPr>
                  </w:r>
                  <w:r>
                    <w:rPr>
                      <w:b w:val="0"/>
                      <w:i w:val="0"/>
                      <w:sz w:val="18"/>
                    </w:rPr>
                    <w:t>The one-word frame for each marker: inflammation, stretch, injury.</w:t>
                  </w:r>
                </w:p>
              </w:tc>
            </w:tr>
            <w:tr>
              <w:tc>
                <w:tcPr>
                  <w:tcW w:type="dxa" w:w="7272"/>
                </w:tcPr>
                <w:p>
                  <w:pPr>
                    <w:spacing w:after="40"/>
                  </w:pPr>
                  <w:r>
                    <w:rPr>
                      <w:sz w:val="18"/>
                    </w:rPr>
                  </w:r>
                  <w:r>
                    <w:rPr>
                      <w:b w:val="0"/>
                      <w:i/>
                      <w:sz w:val="18"/>
                    </w:rPr>
                    <w:t>“If you have troponin, don’t even waste your time ordering a CK.”</w:t>
                  </w:r>
                  <w:r>
                    <w:rPr>
                      <w:b w:val="0"/>
                      <w:i w:val="0"/>
                      <w:sz w:val="18"/>
                    </w:rPr>
                    <w:t xml:space="preserve"> [part 1, 31:05] Creatine kinase-MB only if troponin is unavailable; </w:t>
                  </w:r>
                  <w:r>
                    <w:rPr>
                      <w:b w:val="0"/>
                      <w:i/>
                      <w:sz w:val="18"/>
                    </w:rPr>
                    <w:t>“you will absolutely order it”</w:t>
                  </w:r>
                  <w:r>
                    <w:rPr>
                      <w:b w:val="0"/>
                      <w:i w:val="0"/>
                      <w:sz w:val="18"/>
                    </w:rPr>
                    <w:t xml:space="preserve"> for rhabdomyolysis. [part 1, 15:58–16:26]</w:t>
                  </w:r>
                </w:p>
              </w:tc>
              <w:tc>
                <w:tcPr>
                  <w:tcW w:type="dxa" w:w="7272"/>
                </w:tcPr>
                <w:p>
                  <w:pPr>
                    <w:spacing w:after="40"/>
                  </w:pPr>
                  <w:r>
                    <w:rPr>
                      <w:sz w:val="18"/>
                    </w:rPr>
                  </w:r>
                  <w:r>
                    <w:rPr>
                      <w:b w:val="0"/>
                      <w:i w:val="0"/>
                      <w:sz w:val="18"/>
                    </w:rPr>
                    <w:t>Creatine kinase is a skeletal-muscle test (9.2).</w:t>
                  </w:r>
                </w:p>
              </w:tc>
            </w:tr>
            <w:tr>
              <w:tc>
                <w:tcPr>
                  <w:tcW w:type="dxa" w:w="7272"/>
                </w:tcPr>
                <w:p>
                  <w:pPr>
                    <w:spacing w:after="40"/>
                  </w:pPr>
                  <w:r>
                    <w:rPr>
                      <w:sz w:val="18"/>
                    </w:rPr>
                  </w:r>
                  <w:r>
                    <w:rPr>
                      <w:b w:val="0"/>
                      <w:i/>
                      <w:sz w:val="18"/>
                    </w:rPr>
                    <w:t>“Make sure you know what troponin you’re talking about when you’re reading your labs.”</w:t>
                  </w:r>
                  <w:r>
                    <w:rPr>
                      <w:b w:val="0"/>
                      <w:i w:val="0"/>
                      <w:sz w:val="18"/>
                    </w:rPr>
                    <w:t xml:space="preserve"> A conventional troponin I of 22 would be alarming; a high-sensitivity value of 22 is on a different scale. [part 1, 8:41–9:18]</w:t>
                  </w:r>
                </w:p>
              </w:tc>
              <w:tc>
                <w:tcPr>
                  <w:tcW w:type="dxa" w:w="7272"/>
                </w:tcPr>
                <w:p>
                  <w:pPr>
                    <w:spacing w:after="40"/>
                  </w:pPr>
                  <w:r>
                    <w:rPr>
                      <w:sz w:val="18"/>
                    </w:rPr>
                  </w:r>
                  <w:r>
                    <w:rPr>
                      <w:b w:val="0"/>
                      <w:i w:val="0"/>
                      <w:sz w:val="18"/>
                    </w:rPr>
                    <w:t xml:space="preserve">Read a troponin against </w:t>
                  </w:r>
                  <w:r>
                    <w:rPr>
                      <w:b w:val="0"/>
                      <w:i/>
                      <w:sz w:val="18"/>
                    </w:rPr>
                    <w:t>its own</w:t>
                  </w:r>
                  <w:r>
                    <w:rPr>
                      <w:b w:val="0"/>
                      <w:i w:val="0"/>
                      <w:sz w:val="18"/>
                    </w:rPr>
                    <w:t xml:space="preserve"> assay’s limit (slide 5 gives each).</w:t>
                  </w:r>
                </w:p>
              </w:tc>
            </w:tr>
            <w:tr>
              <w:tc>
                <w:tcPr>
                  <w:tcW w:type="dxa" w:w="7272"/>
                </w:tcPr>
                <w:p>
                  <w:pPr>
                    <w:spacing w:after="40"/>
                  </w:pPr>
                  <w:r>
                    <w:rPr>
                      <w:sz w:val="18"/>
                    </w:rPr>
                  </w:r>
                  <w:r>
                    <w:rPr>
                      <w:b w:val="0"/>
                      <w:i w:val="0"/>
                      <w:sz w:val="18"/>
                    </w:rPr>
                    <w:t xml:space="preserve">Type 1 versus type 2 infarction (slide 11): type 1 is an occluded vessel, </w:t>
                  </w:r>
                  <w:r>
                    <w:rPr>
                      <w:b w:val="0"/>
                      <w:i/>
                      <w:sz w:val="18"/>
                    </w:rPr>
                    <w:t>“take them to the cath lab”</w:t>
                  </w:r>
                  <w:r>
                    <w:rPr>
                      <w:b w:val="0"/>
                      <w:i w:val="0"/>
                      <w:sz w:val="18"/>
                    </w:rPr>
                    <w:t>; type 2 is global supply failure (sepsis, hypoxia, blood loss) with a much milder troponin rise, treated by treating the cause. [part 1, 12:39–15:50]</w:t>
                  </w:r>
                </w:p>
              </w:tc>
              <w:tc>
                <w:tcPr>
                  <w:tcW w:type="dxa" w:w="7272"/>
                </w:tcPr>
                <w:p>
                  <w:pPr>
                    <w:spacing w:after="40"/>
                  </w:pPr>
                  <w:r>
                    <w:rPr>
                      <w:sz w:val="18"/>
                    </w:rPr>
                  </w:r>
                  <w:r>
                    <w:rPr>
                      <w:b w:val="0"/>
                      <w:i w:val="0"/>
                      <w:sz w:val="18"/>
                    </w:rPr>
                    <w:t>A small troponin rise in a septic, hypoxic patient is expected; the height of the rise separates the two.</w:t>
                  </w:r>
                </w:p>
              </w:tc>
            </w:tr>
            <w:tr>
              <w:tc>
                <w:tcPr>
                  <w:tcW w:type="dxa" w:w="7272"/>
                </w:tcPr>
                <w:p>
                  <w:pPr>
                    <w:spacing w:after="40"/>
                  </w:pPr>
                  <w:r>
                    <w:rPr>
                      <w:sz w:val="18"/>
                    </w:rPr>
                  </w:r>
                  <w:r>
                    <w:rPr>
                      <w:b w:val="0"/>
                      <w:i w:val="0"/>
                      <w:sz w:val="18"/>
                    </w:rPr>
                    <w:t xml:space="preserve">High-sensitivity C-reactive protein is </w:t>
                  </w:r>
                  <w:r>
                    <w:rPr>
                      <w:b w:val="0"/>
                      <w:i/>
                      <w:sz w:val="18"/>
                    </w:rPr>
                    <w:t>“our risk stratifier … not part of your STEMI, acute coronary syndrome protocol. That’s an office visit type lab.”</w:t>
                  </w:r>
                  <w:r>
                    <w:rPr>
                      <w:b w:val="0"/>
                      <w:i w:val="0"/>
                      <w:sz w:val="18"/>
                    </w:rPr>
                    <w:t xml:space="preserve"> [part 1, 31:41–31:56] Above 50 mg/dL </w:t>
                  </w:r>
                  <w:r>
                    <w:rPr>
                      <w:b w:val="0"/>
                      <w:i/>
                      <w:sz w:val="18"/>
                    </w:rPr>
                    <w:t>“is unlikely to be like a chronic inflammatory process”</w:t>
                  </w:r>
                  <w:r>
                    <w:rPr>
                      <w:b w:val="0"/>
                      <w:i w:val="0"/>
                      <w:sz w:val="18"/>
                    </w:rPr>
                    <w:t xml:space="preserve"> — that patient is septic. [part 1, 24:41]</w:t>
                  </w:r>
                </w:p>
              </w:tc>
              <w:tc>
                <w:tcPr>
                  <w:tcW w:type="dxa" w:w="7272"/>
                </w:tcPr>
                <w:p>
                  <w:pPr>
                    <w:spacing w:after="40"/>
                  </w:pPr>
                  <w:r>
                    <w:rPr>
                      <w:sz w:val="18"/>
                    </w:rPr>
                  </w:r>
                  <w:r>
                    <w:rPr>
                      <w:b w:val="0"/>
                      <w:i w:val="0"/>
                      <w:sz w:val="18"/>
                    </w:rPr>
                    <w:t>Never the answer for acute chest pain; the answer for a well visit with a family history.</w:t>
                  </w:r>
                </w:p>
              </w:tc>
            </w:tr>
            <w:tr>
              <w:tc>
                <w:tcPr>
                  <w:tcW w:type="dxa" w:w="7272"/>
                </w:tcPr>
                <w:p>
                  <w:pPr>
                    <w:spacing w:after="40"/>
                  </w:pPr>
                  <w:r>
                    <w:rPr>
                      <w:sz w:val="18"/>
                    </w:rPr>
                  </w:r>
                  <w:r>
                    <w:rPr>
                      <w:b w:val="0"/>
                      <w:i w:val="0"/>
                      <w:sz w:val="18"/>
                    </w:rPr>
                    <w:t xml:space="preserve">The chest-pain cases (slides 24–31): troponin and an EKG as soon as possible, plus a basic or comprehensive metabolic panel for kidney function, for </w:t>
                  </w:r>
                  <w:r>
                    <w:rPr>
                      <w:b w:val="0"/>
                      <w:i/>
                      <w:sz w:val="18"/>
                    </w:rPr>
                    <w:t>“at least two reasons, probably three”</w:t>
                  </w:r>
                  <w:r>
                    <w:rPr>
                      <w:b w:val="0"/>
                      <w:i w:val="0"/>
                      <w:sz w:val="18"/>
                    </w:rPr>
                    <w:t xml:space="preserve"> — to interpret the troponin, because the catheter lab means contrast, and because diabetes and hypertension damage kidneys. Her milder, older patient: </w:t>
                  </w:r>
                  <w:r>
                    <w:rPr>
                      <w:b w:val="0"/>
                      <w:i/>
                      <w:sz w:val="18"/>
                    </w:rPr>
                    <w:t>“do we think that just because her presenting symptoms are milder, that her labs are going to be better? Not necessarily.”</w:t>
                  </w:r>
                  <w:r>
                    <w:rPr>
                      <w:b w:val="0"/>
                      <w:i w:val="0"/>
                      <w:sz w:val="18"/>
                    </w:rPr>
                    <w:t xml:space="preserve"> [part 1, 33:27–38:58]</w:t>
                  </w:r>
                </w:p>
              </w:tc>
              <w:tc>
                <w:tcPr>
                  <w:tcW w:type="dxa" w:w="7272"/>
                </w:tcPr>
                <w:p>
                  <w:pPr>
                    <w:spacing w:after="40"/>
                  </w:pPr>
                  <w:r>
                    <w:rPr>
                      <w:sz w:val="18"/>
                    </w:rPr>
                  </w:r>
                  <w:r>
                    <w:rPr>
                      <w:b w:val="0"/>
                      <w:i w:val="0"/>
                      <w:sz w:val="18"/>
                    </w:rPr>
                    <w:t>The next-best-test answer for acute chest pain is troponin + EKG, with renal function alongside. At follow-up she added hs-CRP, hemoglobin A1C and a repeat EKG.</w:t>
                  </w:r>
                </w:p>
              </w:tc>
            </w:tr>
            <w:tr>
              <w:tc>
                <w:tcPr>
                  <w:tcW w:type="dxa" w:w="7272"/>
                </w:tcPr>
                <w:p>
                  <w:pPr>
                    <w:spacing w:after="40"/>
                  </w:pPr>
                  <w:r>
                    <w:rPr>
                      <w:sz w:val="18"/>
                    </w:rPr>
                  </w:r>
                  <w:r>
                    <w:rPr>
                      <w:b w:val="0"/>
                      <w:i w:val="0"/>
                      <w:sz w:val="18"/>
                    </w:rPr>
                    <w:t xml:space="preserve">Case 3 (slide 48, “diagnostic*”): </w:t>
                  </w:r>
                  <w:r>
                    <w:rPr>
                      <w:b w:val="0"/>
                      <w:i/>
                      <w:sz w:val="18"/>
                    </w:rPr>
                    <w:t>“This person’s fine … So is this really diagnostic testing? Screening.”</w:t>
                  </w:r>
                  <w:r>
                    <w:rPr>
                      <w:b w:val="0"/>
                      <w:i w:val="0"/>
                      <w:sz w:val="18"/>
                    </w:rPr>
                    <w:t xml:space="preserve"> Order a fasting lipid panel, A1C, and a lipoprotein(a) if never measured. [part 3, 16:53–17:42]</w:t>
                  </w:r>
                </w:p>
              </w:tc>
              <w:tc>
                <w:tcPr>
                  <w:tcW w:type="dxa" w:w="7272"/>
                </w:tcPr>
                <w:p>
                  <w:pPr>
                    <w:spacing w:after="40"/>
                  </w:pPr>
                  <w:r>
                    <w:rPr>
                      <w:sz w:val="18"/>
                    </w:rPr>
                  </w:r>
                  <w:r>
                    <w:rPr>
                      <w:b w:val="0"/>
                      <w:i w:val="0"/>
                      <w:sz w:val="18"/>
                    </w:rPr>
                    <w:t xml:space="preserve">The asterisk is the point: the same tests, ordered as </w:t>
                  </w:r>
                  <w:r>
                    <w:rPr>
                      <w:b w:val="0"/>
                      <w:i/>
                      <w:sz w:val="18"/>
                    </w:rPr>
                    <w:t>screening</w:t>
                  </w:r>
                  <w:r>
                    <w:rPr>
                      <w:b w:val="0"/>
                      <w:i w:val="0"/>
                      <w:sz w:val="18"/>
                    </w:rPr>
                    <w:t>. Family history of premature disease is also a fasting indication (9.3).</w:t>
                  </w:r>
                </w:p>
              </w:tc>
            </w:tr>
          </w:tbl>
          <w:p/>
          <w:p>
            <w:pPr>
              <w:spacing w:after="80"/>
            </w:pPr>
          </w:p>
          <w:p>
            <w:pPr>
              <w:spacing w:after="120"/>
            </w:pPr>
            <w:r>
              <w:rPr>
                <w:b/>
                <w:i w:val="0"/>
              </w:rPr>
              <w:t>Where the slide and the recording differ.</w:t>
            </w:r>
            <w:r>
              <w:rPr>
                <w:b w:val="0"/>
                <w:i w:val="0"/>
              </w:rPr>
              <w:t xml:space="preserve"> Four spoken statements differ from the deck; this guide teaches whichever is accurate. (1) She described trending troponin </w:t>
            </w:r>
            <w:r>
              <w:rPr>
                <w:b w:val="0"/>
                <w:i/>
              </w:rPr>
              <w:t>“every three hours through nine hours … zero, three, six, and nine”</w:t>
            </w:r>
            <w:r>
              <w:rPr>
                <w:b w:val="0"/>
                <w:i w:val="0"/>
              </w:rPr>
              <w:t xml:space="preserve"> [part 1, 18:19]; slide 7 draws </w:t>
            </w:r>
            <w:r>
              <w:rPr>
                <w:b/>
                <w:i w:val="0"/>
              </w:rPr>
              <w:t>high-sensitivity</w:t>
            </w:r>
            <w:r>
              <w:rPr>
                <w:b w:val="0"/>
                <w:i w:val="0"/>
              </w:rPr>
              <w:t xml:space="preserve"> troponin at 0 and 1–2 hours. Both are real protocols: the longer schedule belongs to conventional assays, the 0 and 1–2 hour one to high-sensitivity assays. (2) She called BNP </w:t>
            </w:r>
            <w:r>
              <w:rPr>
                <w:b w:val="0"/>
                <w:i/>
              </w:rPr>
              <w:t>“not super ideal for guiding therapy”</w:t>
            </w:r>
            <w:r>
              <w:rPr>
                <w:b w:val="0"/>
                <w:i w:val="0"/>
              </w:rPr>
              <w:t xml:space="preserve"> and not for serial trending [part 1, 19:40–19:53]; slide 14 lists guiding therapy and monitoring the course as applications. </w:t>
            </w:r>
            <w:r>
              <w:rPr>
                <w:b/>
                <w:i w:val="0"/>
              </w:rPr>
              <w:t>She is closer to the evidence on therapy:</w:t>
            </w:r>
            <w:r>
              <w:rPr>
                <w:b w:val="0"/>
                <w:i w:val="0"/>
              </w:rPr>
              <w:t xml:space="preserve"> adjusting treatment to the peptide level has not been shown to improve outcomes (2022 AHA/ACC/HFSA heart failure guideline), while tracking the course and stratifying risk are established uses. (3) She called type 2 infarction a “non-STEMI” and “injury” [part 1, 13:20; 30:38]; the deck’s own graph (slide 11) plots it as an </w:t>
            </w:r>
            <w:r>
              <w:rPr>
                <w:b w:val="0"/>
                <w:i/>
              </w:rPr>
              <w:t>infarction</w:t>
            </w:r>
            <w:r>
              <w:rPr>
                <w:b w:val="0"/>
                <w:i w:val="0"/>
              </w:rPr>
              <w:t xml:space="preserve">, and non-ST elevation is an electrocardiogram category, not a type. (4) For routine labs she would </w:t>
            </w:r>
            <w:r>
              <w:rPr>
                <w:b w:val="0"/>
                <w:i/>
              </w:rPr>
              <w:t>“just do fasting”</w:t>
            </w:r>
            <w:r>
              <w:rPr>
                <w:b w:val="0"/>
                <w:i w:val="0"/>
              </w:rPr>
              <w:t xml:space="preserve"> [part 3, 15:02]; slide 46 says nonfasting is acceptable for most. Also loose: a high-sensitivity troponin of 22 is </w:t>
            </w:r>
            <w:r>
              <w:rPr>
                <w:b w:val="0"/>
                <w:i/>
              </w:rPr>
              <w:t>at</w:t>
            </w:r>
            <w:r>
              <w:rPr>
                <w:b w:val="0"/>
                <w:i w:val="0"/>
              </w:rPr>
              <w:t>, not under, slide 5’s male limit (under 22 ng/L).</w:t>
            </w:r>
          </w:p>
          <w:p>
            <w:pPr>
              <w:spacing w:after="120"/>
            </w:pPr>
            <w:r>
              <w:rPr>
                <w:b/>
                <w:i w:val="0"/>
              </w:rPr>
              <w:t>Coverage.</w:t>
            </w:r>
            <w:r>
              <w:rPr>
                <w:b w:val="0"/>
                <w:i w:val="0"/>
              </w:rPr>
              <w:t xml:space="preserve"> Three segments, about 80 minutes: part 1 (biomarkers and cases 1–2, from slide 4; the last eleven minutes are the break), part 2 (seven minutes on apolipoproteins and lipoprotein(a)) and part 3 (the lipid panel, the calculation, case 3). The opening minutes on slides 1–3 and the first lipid slides (32–33) fall outside the recordings.</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monitoring the course · risk stratification (cardiovascular mortality, readmission). Slide 14 also lists guiding therapy; titrating treatment to the peptide level has not been shown to improve outcomes, so learn it as the weakest of the four.</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xml:space="preserve">. </w:t>
            </w:r>
            <w:r>
              <w:rPr>
                <w:b/>
                <w:i w:val="0"/>
              </w:rPr>
              <w:t>This arithmetic is examinable:</w:t>
            </w:r>
            <w:r>
              <w:rPr>
                <w:b w:val="0"/>
                <w:i w:val="0"/>
              </w:rPr>
              <w:t xml:space="preserve"> she worked slide 43 in class as </w:t>
            </w:r>
            <w:r>
              <w:rPr>
                <w:b w:val="0"/>
                <w:i/>
              </w:rPr>
              <w:t>“two calculations, and then … interpret”</w:t>
            </w:r>
            <w:r>
              <w:rPr>
                <w:b w:val="0"/>
                <w:i w:val="0"/>
              </w:rPr>
              <w:t xml:space="preserve"> (178 − 62 − 18 = 98; 178 − 62 = 116; both in range for a low-risk patient, “not even close” for a high-risk one). Triglycerides of 400 mg/dL or more: </w:t>
            </w:r>
            <w:r>
              <w:rPr>
                <w:b w:val="0"/>
                <w:i/>
              </w:rPr>
              <w:t>“we cannot trust that calculation.”</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Emphasis quoted from the 21 September 2026 recording (three segments), read in both transcripts.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