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0224"/>
      </w:tblGrid>
      <w:tr>
        <w:tc>
          <w:tcPr>
            <w:tcW w:type="dxa" w:w="1022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She said</w:t>
                  </w:r>
                </w:p>
              </w:tc>
              <w:tc>
                <w:tcPr>
                  <w:tcW w:type="dxa" w:w="5112"/>
                  <w:shd w:val="clear" w:color="auto" w:fill="69406C"/>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5112"/>
                </w:tcPr>
                <w:p>
                  <w:pPr>
                    <w:spacing w:after="40"/>
                  </w:pPr>
                  <w:r>
                    <w:rPr>
                      <w:sz w:val="18"/>
                    </w:rPr>
                  </w:r>
                  <w:r>
                    <w:rPr>
                      <w:b/>
                      <w:i w:val="0"/>
                      <w:sz w:val="18"/>
                    </w:rPr>
                    <w:t>Do not memorise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5112"/>
                </w:tcPr>
                <w:p>
                  <w:pPr>
                    <w:spacing w:after="40"/>
                  </w:pPr>
                  <w:r>
                    <w:rPr>
                      <w:sz w:val="18"/>
                    </w:rPr>
                  </w:r>
                  <w:r>
                    <w:rPr>
                      <w:b w:val="0"/>
                      <w:i/>
                      <w:sz w:val="18"/>
                    </w:rPr>
                    <w:t>“It will be based on the instructional objectives … more related to the tests themselves rather than maybe the specific diagnosis.”</w:t>
                  </w:r>
                </w:p>
              </w:tc>
              <w:tc>
                <w:tcPr>
                  <w:tcW w:type="dxa" w:w="511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5112"/>
                </w:tcPr>
                <w:p>
                  <w:pPr>
                    <w:spacing w:after="40"/>
                  </w:pPr>
                  <w:r>
                    <w:rPr>
                      <w:sz w:val="18"/>
                    </w:rPr>
                  </w:r>
                  <w:r>
                    <w:rPr>
                      <w:b w:val="0"/>
                      <w:i/>
                      <w:sz w:val="18"/>
                    </w:rPr>
                    <w:t>“Although a heart rhythm can be a diagnosis, you also need to be able to interpret an EKG by naming the rhythm.”</w:t>
                  </w:r>
                </w:p>
              </w:tc>
              <w:tc>
                <w:tcPr>
                  <w:tcW w:type="dxa" w:w="5112"/>
                </w:tcPr>
                <w:p>
                  <w:pPr>
                    <w:spacing w:after="40"/>
                  </w:pPr>
                  <w:r>
                    <w:rPr>
                      <w:sz w:val="18"/>
                    </w:rPr>
                  </w:r>
                  <w:r>
                    <w:rPr>
                      <w:b w:val="0"/>
                      <w:i w:val="0"/>
                      <w:sz w:val="18"/>
                    </w:rPr>
                    <w:t>The one stated exception. It lands on Lectures 7 and 11–16, so Exams 2 and 3.</w:t>
                  </w:r>
                </w:p>
              </w:tc>
            </w:tr>
            <w:tr>
              <w:tc>
                <w:tcPr>
                  <w:tcW w:type="dxa" w:w="5112"/>
                </w:tcPr>
                <w:p>
                  <w:pPr>
                    <w:spacing w:after="40"/>
                  </w:pPr>
                  <w:r>
                    <w:rPr>
                      <w:sz w:val="18"/>
                    </w:rPr>
                  </w:r>
                  <w:r>
                    <w:rPr>
                      <w:b w:val="0"/>
                      <w:i/>
                      <w:sz w:val="18"/>
                    </w:rPr>
                    <w:t>“There could be pictures … images of x-rays or CT scans … in addition to the vignette.”</w:t>
                  </w:r>
                </w:p>
              </w:tc>
              <w:tc>
                <w:tcPr>
                  <w:tcW w:type="dxa" w:w="511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What testing does</w:t>
            </w:r>
          </w:p>
        </w:tc>
      </w:tr>
      <w:tr>
        <w:tc>
          <w:tcPr>
            <w:tcW w:type="dxa" w:w="1022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Effective diagnostic testing</w:t>
            </w:r>
          </w:p>
        </w:tc>
      </w:tr>
      <w:tr>
        <w:tc>
          <w:tcPr>
            <w:tcW w:type="dxa" w:w="1022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Phase</w:t>
            </w:r>
          </w:p>
        </w:tc>
        <w:tc>
          <w:tcPr>
            <w:tcW w:type="dxa" w:w="3408"/>
            <w:shd w:val="clear" w:color="auto" w:fill="69406C"/>
          </w:tcPr>
          <w:p>
            <w:pPr>
              <w:spacing w:after="40"/>
            </w:pPr>
            <w:r>
              <w:rPr>
                <w:b/>
                <w:color w:val="FFFFFF"/>
                <w:sz w:val="18"/>
              </w:rPr>
            </w:r>
            <w:r>
              <w:rPr>
                <w:b/>
                <w:i w:val="0"/>
                <w:color w:val="FFFFFF"/>
                <w:sz w:val="18"/>
              </w:rPr>
              <w:t>Also called</w:t>
            </w:r>
          </w:p>
        </w:tc>
        <w:tc>
          <w:tcPr>
            <w:tcW w:type="dxa" w:w="3408"/>
            <w:shd w:val="clear" w:color="auto" w:fill="69406C"/>
          </w:tcPr>
          <w:p>
            <w:pPr>
              <w:spacing w:after="40"/>
            </w:pPr>
            <w:r>
              <w:rPr>
                <w:b/>
                <w:color w:val="FFFFFF"/>
                <w:sz w:val="18"/>
              </w:rPr>
            </w:r>
            <w:r>
              <w:rPr>
                <w:b/>
                <w:i w:val="0"/>
                <w:color w:val="FFFFFF"/>
                <w:sz w:val="18"/>
              </w:rPr>
              <w:t>Span</w:t>
            </w:r>
          </w:p>
        </w:tc>
      </w:tr>
      <w:tr>
        <w:tc>
          <w:tcPr>
            <w:tcW w:type="dxa" w:w="3408"/>
          </w:tcPr>
          <w:p>
            <w:pPr>
              <w:spacing w:after="40"/>
            </w:pPr>
            <w:r>
              <w:rPr>
                <w:sz w:val="18"/>
              </w:rPr>
            </w:r>
            <w:r>
              <w:rPr>
                <w:b/>
                <w:i w:val="0"/>
                <w:sz w:val="18"/>
              </w:rPr>
              <w:t>Pretest</w:t>
            </w:r>
          </w:p>
        </w:tc>
        <w:tc>
          <w:tcPr>
            <w:tcW w:type="dxa" w:w="3408"/>
          </w:tcPr>
          <w:p>
            <w:pPr>
              <w:spacing w:after="40"/>
            </w:pPr>
            <w:r>
              <w:rPr>
                <w:sz w:val="18"/>
              </w:rPr>
            </w:r>
            <w:r>
              <w:rPr>
                <w:b w:val="0"/>
                <w:i w:val="0"/>
                <w:sz w:val="18"/>
              </w:rPr>
              <w:t>Preanalytical</w:t>
            </w:r>
          </w:p>
        </w:tc>
        <w:tc>
          <w:tcPr>
            <w:tcW w:type="dxa" w:w="3408"/>
          </w:tcPr>
          <w:p>
            <w:pPr>
              <w:spacing w:after="40"/>
            </w:pPr>
            <w:r>
              <w:rPr>
                <w:sz w:val="18"/>
              </w:rPr>
            </w:r>
            <w:r>
              <w:rPr>
                <w:b w:val="0"/>
                <w:i w:val="0"/>
                <w:sz w:val="18"/>
              </w:rPr>
              <w:t>Begins with patient preparation, extends until the test begins</w:t>
            </w:r>
          </w:p>
        </w:tc>
      </w:tr>
      <w:tr>
        <w:tc>
          <w:tcPr>
            <w:tcW w:type="dxa" w:w="3408"/>
          </w:tcPr>
          <w:p>
            <w:pPr>
              <w:spacing w:after="40"/>
            </w:pPr>
            <w:r>
              <w:rPr>
                <w:sz w:val="18"/>
              </w:rPr>
            </w:r>
            <w:r>
              <w:rPr>
                <w:b/>
                <w:i w:val="0"/>
                <w:sz w:val="18"/>
              </w:rPr>
              <w:t>Intratest</w:t>
            </w:r>
          </w:p>
        </w:tc>
        <w:tc>
          <w:tcPr>
            <w:tcW w:type="dxa" w:w="3408"/>
          </w:tcPr>
          <w:p>
            <w:pPr>
              <w:spacing w:after="40"/>
            </w:pPr>
            <w:r>
              <w:rPr>
                <w:sz w:val="18"/>
              </w:rPr>
            </w:r>
            <w:r>
              <w:rPr>
                <w:b w:val="0"/>
                <w:i w:val="0"/>
                <w:sz w:val="18"/>
              </w:rPr>
              <w:t>Analytical</w:t>
            </w:r>
          </w:p>
        </w:tc>
        <w:tc>
          <w:tcPr>
            <w:tcW w:type="dxa" w:w="3408"/>
          </w:tcPr>
          <w:p>
            <w:pPr>
              <w:spacing w:after="40"/>
            </w:pPr>
            <w:r>
              <w:rPr>
                <w:sz w:val="18"/>
              </w:rPr>
            </w:r>
            <w:r>
              <w:rPr>
                <w:b w:val="0"/>
                <w:i w:val="0"/>
                <w:sz w:val="18"/>
              </w:rPr>
              <w:t>Performing the test and everything it encompasses</w:t>
            </w:r>
          </w:p>
        </w:tc>
      </w:tr>
      <w:tr>
        <w:tc>
          <w:tcPr>
            <w:tcW w:type="dxa" w:w="3408"/>
          </w:tcPr>
          <w:p>
            <w:pPr>
              <w:spacing w:after="40"/>
            </w:pPr>
            <w:r>
              <w:rPr>
                <w:sz w:val="18"/>
              </w:rPr>
            </w:r>
            <w:r>
              <w:rPr>
                <w:b/>
                <w:i w:val="0"/>
                <w:sz w:val="18"/>
              </w:rPr>
              <w:t>Posttest</w:t>
            </w:r>
          </w:p>
        </w:tc>
        <w:tc>
          <w:tcPr>
            <w:tcW w:type="dxa" w:w="3408"/>
          </w:tcPr>
          <w:p>
            <w:pPr>
              <w:spacing w:after="40"/>
            </w:pPr>
            <w:r>
              <w:rPr>
                <w:sz w:val="18"/>
              </w:rPr>
            </w:r>
            <w:r>
              <w:rPr>
                <w:b w:val="0"/>
                <w:i w:val="0"/>
                <w:sz w:val="18"/>
              </w:rPr>
              <w:t>Postanalytical</w:t>
            </w:r>
          </w:p>
        </w:tc>
        <w:tc>
          <w:tcPr>
            <w:tcW w:type="dxa" w:w="340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Pretest — what to consider</w:t>
            </w:r>
          </w:p>
        </w:tc>
        <w:tc>
          <w:tcPr>
            <w:tcW w:type="dxa" w:w="5112"/>
            <w:shd w:val="clear" w:color="auto" w:fill="69406C"/>
          </w:tcPr>
          <w:p>
            <w:pPr>
              <w:spacing w:after="40"/>
            </w:pPr>
            <w:r>
              <w:rPr>
                <w:b/>
                <w:color w:val="FFFFFF"/>
                <w:sz w:val="18"/>
              </w:rPr>
            </w:r>
            <w:r>
              <w:rPr>
                <w:b/>
                <w:i w:val="0"/>
                <w:color w:val="FFFFFF"/>
                <w:sz w:val="18"/>
              </w:rPr>
              <w:t>Pretest — how it fails</w:t>
            </w:r>
          </w:p>
        </w:tc>
      </w:tr>
      <w:tr>
        <w:tc>
          <w:tcPr>
            <w:tcW w:type="dxa" w:w="511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511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Intratest</w:t>
            </w:r>
          </w:p>
        </w:tc>
        <w:tc>
          <w:tcPr>
            <w:tcW w:type="dxa" w:w="5112"/>
            <w:shd w:val="clear" w:color="auto" w:fill="69406C"/>
          </w:tcPr>
          <w:p>
            <w:pPr>
              <w:spacing w:after="40"/>
            </w:pPr>
            <w:r>
              <w:rPr>
                <w:b/>
                <w:color w:val="FFFFFF"/>
                <w:sz w:val="18"/>
              </w:rPr>
            </w:r>
            <w:r>
              <w:rPr>
                <w:b/>
                <w:i w:val="0"/>
                <w:color w:val="FFFFFF"/>
                <w:sz w:val="18"/>
              </w:rPr>
              <w:t>Posttest</w:t>
            </w:r>
          </w:p>
        </w:tc>
      </w:tr>
      <w:tr>
        <w:tc>
          <w:tcPr>
            <w:tcW w:type="dxa" w:w="511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511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Behavioural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colour. She does not want it memorised.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9406C"/>
          </w:tcPr>
          <w:p>
            <w:pPr>
              <w:spacing w:after="40"/>
            </w:pPr>
            <w:r>
              <w:rPr>
                <w:b/>
                <w:color w:val="FFFFFF"/>
                <w:sz w:val="18"/>
              </w:rPr>
            </w:r>
            <w:r>
              <w:rPr>
                <w:b/>
                <w:i w:val="0"/>
                <w:color w:val="FFFFFF"/>
                <w:sz w:val="18"/>
              </w:rPr>
              <w:t>Order</w:t>
            </w:r>
          </w:p>
        </w:tc>
        <w:tc>
          <w:tcPr>
            <w:tcW w:type="dxa" w:w="2556"/>
            <w:shd w:val="clear" w:color="auto" w:fill="69406C"/>
          </w:tcPr>
          <w:p>
            <w:pPr>
              <w:spacing w:after="40"/>
            </w:pPr>
            <w:r>
              <w:rPr>
                <w:b/>
                <w:color w:val="FFFFFF"/>
                <w:sz w:val="18"/>
              </w:rPr>
            </w:r>
            <w:r>
              <w:rPr>
                <w:b/>
                <w:i w:val="0"/>
                <w:color w:val="FFFFFF"/>
                <w:sz w:val="18"/>
              </w:rPr>
              <w:t>Tube</w:t>
            </w:r>
          </w:p>
        </w:tc>
        <w:tc>
          <w:tcPr>
            <w:tcW w:type="dxa" w:w="2556"/>
            <w:shd w:val="clear" w:color="auto" w:fill="69406C"/>
          </w:tcPr>
          <w:p>
            <w:pPr>
              <w:spacing w:after="40"/>
            </w:pPr>
            <w:r>
              <w:rPr>
                <w:b/>
                <w:color w:val="FFFFFF"/>
                <w:sz w:val="18"/>
              </w:rPr>
            </w:r>
            <w:r>
              <w:rPr>
                <w:b/>
                <w:i w:val="0"/>
                <w:color w:val="FFFFFF"/>
                <w:sz w:val="18"/>
              </w:rPr>
              <w:t>Contents</w:t>
            </w:r>
          </w:p>
        </w:tc>
        <w:tc>
          <w:tcPr>
            <w:tcW w:type="dxa" w:w="2556"/>
            <w:shd w:val="clear" w:color="auto" w:fill="69406C"/>
          </w:tcPr>
          <w:p>
            <w:pPr>
              <w:spacing w:after="40"/>
            </w:pPr>
            <w:r>
              <w:rPr>
                <w:b/>
                <w:color w:val="FFFFFF"/>
                <w:sz w:val="18"/>
              </w:rPr>
            </w:r>
            <w:r>
              <w:rPr>
                <w:b/>
                <w:i w:val="0"/>
                <w:color w:val="FFFFFF"/>
                <w:sz w:val="18"/>
              </w:rPr>
              <w:t>Think</w:t>
            </w:r>
          </w:p>
        </w:tc>
      </w:tr>
      <w:tr>
        <w:tc>
          <w:tcPr>
            <w:tcW w:type="dxa" w:w="2556"/>
          </w:tcPr>
          <w:p>
            <w:pPr>
              <w:spacing w:after="40"/>
            </w:pPr>
            <w:r>
              <w:rPr>
                <w:sz w:val="18"/>
              </w:rPr>
            </w:r>
            <w:r>
              <w:rPr>
                <w:b w:val="0"/>
                <w:i w:val="0"/>
                <w:sz w:val="18"/>
              </w:rPr>
              <w:t>1</w:t>
            </w:r>
          </w:p>
        </w:tc>
        <w:tc>
          <w:tcPr>
            <w:tcW w:type="dxa" w:w="2556"/>
          </w:tcPr>
          <w:p>
            <w:pPr>
              <w:spacing w:after="40"/>
            </w:pPr>
            <w:r>
              <w:rPr>
                <w:sz w:val="18"/>
              </w:rPr>
            </w:r>
            <w:r>
              <w:rPr>
                <w:b w:val="0"/>
                <w:i w:val="0"/>
                <w:sz w:val="18"/>
              </w:rPr>
              <w:t>Yellow</w:t>
            </w:r>
          </w:p>
        </w:tc>
        <w:tc>
          <w:tcPr>
            <w:tcW w:type="dxa" w:w="2556"/>
          </w:tcPr>
          <w:p>
            <w:pPr>
              <w:spacing w:after="40"/>
            </w:pPr>
            <w:r>
              <w:rPr>
                <w:sz w:val="18"/>
              </w:rPr>
            </w:r>
            <w:r>
              <w:rPr>
                <w:b w:val="0"/>
                <w:i w:val="0"/>
                <w:sz w:val="18"/>
              </w:rPr>
              <w:t>Sterile media</w:t>
            </w:r>
          </w:p>
        </w:tc>
        <w:tc>
          <w:tcPr>
            <w:tcW w:type="dxa" w:w="2556"/>
          </w:tcPr>
          <w:p>
            <w:pPr>
              <w:spacing w:after="40"/>
            </w:pPr>
            <w:r>
              <w:rPr>
                <w:sz w:val="18"/>
              </w:rPr>
            </w:r>
            <w:r>
              <w:rPr>
                <w:b/>
                <w:i w:val="0"/>
                <w:sz w:val="18"/>
              </w:rPr>
              <w:t>Blood cultures</w:t>
            </w:r>
          </w:p>
        </w:tc>
      </w:tr>
      <w:tr>
        <w:tc>
          <w:tcPr>
            <w:tcW w:type="dxa" w:w="2556"/>
          </w:tcPr>
          <w:p>
            <w:pPr>
              <w:spacing w:after="40"/>
            </w:pPr>
            <w:r>
              <w:rPr>
                <w:sz w:val="18"/>
              </w:rPr>
            </w:r>
            <w:r>
              <w:rPr>
                <w:b w:val="0"/>
                <w:i w:val="0"/>
                <w:sz w:val="18"/>
              </w:rPr>
              <w:t>2</w:t>
            </w:r>
          </w:p>
        </w:tc>
        <w:tc>
          <w:tcPr>
            <w:tcW w:type="dxa" w:w="2556"/>
          </w:tcPr>
          <w:p>
            <w:pPr>
              <w:spacing w:after="40"/>
            </w:pPr>
            <w:r>
              <w:rPr>
                <w:sz w:val="18"/>
              </w:rPr>
            </w:r>
            <w:r>
              <w:rPr>
                <w:b w:val="0"/>
                <w:i w:val="0"/>
                <w:sz w:val="18"/>
              </w:rPr>
              <w:t>Light blue</w:t>
            </w:r>
          </w:p>
        </w:tc>
        <w:tc>
          <w:tcPr>
            <w:tcW w:type="dxa" w:w="2556"/>
          </w:tcPr>
          <w:p>
            <w:pPr>
              <w:spacing w:after="40"/>
            </w:pPr>
            <w:r>
              <w:rPr>
                <w:sz w:val="18"/>
              </w:rPr>
            </w:r>
            <w:r>
              <w:rPr>
                <w:b w:val="0"/>
                <w:i w:val="0"/>
                <w:sz w:val="18"/>
              </w:rPr>
              <w:t>Sodium citrate</w:t>
            </w:r>
          </w:p>
        </w:tc>
        <w:tc>
          <w:tcPr>
            <w:tcW w:type="dxa" w:w="2556"/>
          </w:tcPr>
          <w:p>
            <w:pPr>
              <w:spacing w:after="40"/>
            </w:pPr>
            <w:r>
              <w:rPr>
                <w:sz w:val="18"/>
              </w:rPr>
            </w:r>
            <w:r>
              <w:rPr>
                <w:b/>
                <w:i w:val="0"/>
                <w:sz w:val="18"/>
              </w:rPr>
              <w:t>Coagulation studies</w:t>
            </w:r>
          </w:p>
        </w:tc>
      </w:tr>
      <w:tr>
        <w:tc>
          <w:tcPr>
            <w:tcW w:type="dxa" w:w="2556"/>
          </w:tcPr>
          <w:p>
            <w:pPr>
              <w:spacing w:after="40"/>
            </w:pPr>
            <w:r>
              <w:rPr>
                <w:sz w:val="18"/>
              </w:rPr>
            </w:r>
            <w:r>
              <w:rPr>
                <w:b w:val="0"/>
                <w:i w:val="0"/>
                <w:sz w:val="18"/>
              </w:rPr>
              <w:t>3</w:t>
            </w:r>
          </w:p>
        </w:tc>
        <w:tc>
          <w:tcPr>
            <w:tcW w:type="dxa" w:w="2556"/>
          </w:tcPr>
          <w:p>
            <w:pPr>
              <w:spacing w:after="40"/>
            </w:pPr>
            <w:r>
              <w:rPr>
                <w:sz w:val="18"/>
              </w:rPr>
            </w:r>
            <w:r>
              <w:rPr>
                <w:b w:val="0"/>
                <w:i w:val="0"/>
                <w:sz w:val="18"/>
              </w:rPr>
              <w:t>Red</w:t>
            </w:r>
          </w:p>
        </w:tc>
        <w:tc>
          <w:tcPr>
            <w:tcW w:type="dxa" w:w="2556"/>
          </w:tcPr>
          <w:p>
            <w:pPr>
              <w:spacing w:after="40"/>
            </w:pPr>
            <w:r>
              <w:rPr>
                <w:sz w:val="18"/>
              </w:rPr>
            </w:r>
            <w:r>
              <w:rPr>
                <w:b w:val="0"/>
                <w:i w:val="0"/>
                <w:sz w:val="18"/>
              </w:rPr>
              <w:t>Non-additive serum tube</w:t>
            </w:r>
          </w:p>
        </w:tc>
        <w:tc>
          <w:tcPr>
            <w:tcW w:type="dxa" w:w="2556"/>
          </w:tcPr>
          <w:p>
            <w:pPr>
              <w:spacing w:after="40"/>
            </w:pPr>
            <w:r>
              <w:rPr>
                <w:sz w:val="18"/>
              </w:rPr>
            </w:r>
            <w:r>
              <w:rPr>
                <w:b w:val="0"/>
                <w:i w:val="0"/>
                <w:sz w:val="18"/>
              </w:rPr>
              <w:t>Serum chemistry</w:t>
            </w:r>
          </w:p>
        </w:tc>
      </w:tr>
      <w:tr>
        <w:tc>
          <w:tcPr>
            <w:tcW w:type="dxa" w:w="2556"/>
          </w:tcPr>
          <w:p>
            <w:pPr>
              <w:spacing w:after="40"/>
            </w:pPr>
            <w:r>
              <w:rPr>
                <w:sz w:val="18"/>
              </w:rPr>
            </w:r>
            <w:r>
              <w:rPr>
                <w:b w:val="0"/>
                <w:i w:val="0"/>
                <w:sz w:val="18"/>
              </w:rPr>
              <w:t>4</w:t>
            </w:r>
          </w:p>
        </w:tc>
        <w:tc>
          <w:tcPr>
            <w:tcW w:type="dxa" w:w="2556"/>
          </w:tcPr>
          <w:p>
            <w:pPr>
              <w:spacing w:after="40"/>
            </w:pPr>
            <w:r>
              <w:rPr>
                <w:sz w:val="18"/>
              </w:rPr>
            </w:r>
            <w:r>
              <w:rPr>
                <w:b w:val="0"/>
                <w:i w:val="0"/>
                <w:sz w:val="18"/>
              </w:rPr>
              <w:t>Gold / tiger</w:t>
            </w:r>
          </w:p>
        </w:tc>
        <w:tc>
          <w:tcPr>
            <w:tcW w:type="dxa" w:w="2556"/>
          </w:tcPr>
          <w:p>
            <w:pPr>
              <w:spacing w:after="40"/>
            </w:pPr>
            <w:r>
              <w:rPr>
                <w:sz w:val="18"/>
              </w:rPr>
            </w:r>
            <w:r>
              <w:rPr>
                <w:b w:val="0"/>
                <w:i w:val="0"/>
                <w:sz w:val="18"/>
              </w:rPr>
              <w:t>Serum separator</w:t>
            </w:r>
          </w:p>
        </w:tc>
        <w:tc>
          <w:tcPr>
            <w:tcW w:type="dxa" w:w="2556"/>
          </w:tcPr>
          <w:p>
            <w:pPr>
              <w:spacing w:after="40"/>
            </w:pPr>
            <w:r>
              <w:rPr>
                <w:sz w:val="18"/>
              </w:rPr>
            </w:r>
            <w:r>
              <w:rPr>
                <w:b w:val="0"/>
                <w:i w:val="0"/>
                <w:sz w:val="18"/>
              </w:rPr>
              <w:t>Serum chemistry</w:t>
            </w:r>
          </w:p>
        </w:tc>
      </w:tr>
      <w:tr>
        <w:tc>
          <w:tcPr>
            <w:tcW w:type="dxa" w:w="2556"/>
          </w:tcPr>
          <w:p>
            <w:pPr>
              <w:spacing w:after="40"/>
            </w:pPr>
            <w:r>
              <w:rPr>
                <w:sz w:val="18"/>
              </w:rPr>
            </w:r>
            <w:r>
              <w:rPr>
                <w:b w:val="0"/>
                <w:i w:val="0"/>
                <w:sz w:val="18"/>
              </w:rPr>
              <w:t>5</w:t>
            </w:r>
          </w:p>
        </w:tc>
        <w:tc>
          <w:tcPr>
            <w:tcW w:type="dxa" w:w="2556"/>
          </w:tcPr>
          <w:p>
            <w:pPr>
              <w:spacing w:after="40"/>
            </w:pPr>
            <w:r>
              <w:rPr>
                <w:sz w:val="18"/>
              </w:rPr>
            </w:r>
            <w:r>
              <w:rPr>
                <w:b w:val="0"/>
                <w:i w:val="0"/>
                <w:sz w:val="18"/>
              </w:rPr>
              <w:t>Green</w:t>
            </w:r>
          </w:p>
        </w:tc>
        <w:tc>
          <w:tcPr>
            <w:tcW w:type="dxa" w:w="2556"/>
          </w:tcPr>
          <w:p>
            <w:pPr>
              <w:spacing w:after="40"/>
            </w:pPr>
            <w:r>
              <w:rPr>
                <w:sz w:val="18"/>
              </w:rPr>
            </w:r>
            <w:r>
              <w:rPr>
                <w:b w:val="0"/>
                <w:i w:val="0"/>
                <w:sz w:val="18"/>
              </w:rPr>
              <w:t>Heparin</w:t>
            </w:r>
          </w:p>
        </w:tc>
        <w:tc>
          <w:tcPr>
            <w:tcW w:type="dxa" w:w="2556"/>
          </w:tcPr>
          <w:p>
            <w:pPr>
              <w:spacing w:after="40"/>
            </w:pPr>
            <w:r>
              <w:rPr>
                <w:sz w:val="18"/>
              </w:rPr>
            </w:r>
            <w:r>
              <w:rPr>
                <w:b w:val="0"/>
                <w:i w:val="0"/>
                <w:sz w:val="18"/>
              </w:rPr>
              <w:t>Plasma chemistry</w:t>
            </w:r>
          </w:p>
        </w:tc>
      </w:tr>
      <w:tr>
        <w:tc>
          <w:tcPr>
            <w:tcW w:type="dxa" w:w="2556"/>
          </w:tcPr>
          <w:p>
            <w:pPr>
              <w:spacing w:after="40"/>
            </w:pPr>
            <w:r>
              <w:rPr>
                <w:sz w:val="18"/>
              </w:rPr>
            </w:r>
            <w:r>
              <w:rPr>
                <w:b w:val="0"/>
                <w:i w:val="0"/>
                <w:sz w:val="18"/>
              </w:rPr>
              <w:t>6</w:t>
            </w:r>
          </w:p>
        </w:tc>
        <w:tc>
          <w:tcPr>
            <w:tcW w:type="dxa" w:w="2556"/>
          </w:tcPr>
          <w:p>
            <w:pPr>
              <w:spacing w:after="40"/>
            </w:pPr>
            <w:r>
              <w:rPr>
                <w:sz w:val="18"/>
              </w:rPr>
            </w:r>
            <w:r>
              <w:rPr>
                <w:b w:val="0"/>
                <w:i w:val="0"/>
                <w:sz w:val="18"/>
              </w:rPr>
              <w:t>Lavender</w:t>
            </w:r>
          </w:p>
        </w:tc>
        <w:tc>
          <w:tcPr>
            <w:tcW w:type="dxa" w:w="2556"/>
          </w:tcPr>
          <w:p>
            <w:pPr>
              <w:spacing w:after="40"/>
            </w:pPr>
            <w:r>
              <w:rPr>
                <w:sz w:val="18"/>
              </w:rPr>
            </w:r>
            <w:r>
              <w:rPr>
                <w:b w:val="0"/>
                <w:i w:val="0"/>
                <w:sz w:val="18"/>
              </w:rPr>
              <w:t>Ethylenediaminetetraacetic acid</w:t>
            </w:r>
          </w:p>
        </w:tc>
        <w:tc>
          <w:tcPr>
            <w:tcW w:type="dxa" w:w="2556"/>
          </w:tcPr>
          <w:p>
            <w:pPr>
              <w:spacing w:after="40"/>
            </w:pPr>
            <w:r>
              <w:rPr>
                <w:sz w:val="18"/>
              </w:rPr>
            </w:r>
            <w:r>
              <w:rPr>
                <w:b/>
                <w:i w:val="0"/>
                <w:sz w:val="18"/>
              </w:rPr>
              <w:t>Complete blood count</w:t>
            </w:r>
          </w:p>
        </w:tc>
      </w:tr>
      <w:tr>
        <w:tc>
          <w:tcPr>
            <w:tcW w:type="dxa" w:w="2556"/>
          </w:tcPr>
          <w:p>
            <w:pPr>
              <w:spacing w:after="40"/>
            </w:pPr>
            <w:r>
              <w:rPr>
                <w:sz w:val="18"/>
              </w:rPr>
            </w:r>
            <w:r>
              <w:rPr>
                <w:b w:val="0"/>
                <w:i w:val="0"/>
                <w:sz w:val="18"/>
              </w:rPr>
              <w:t>7</w:t>
            </w:r>
          </w:p>
        </w:tc>
        <w:tc>
          <w:tcPr>
            <w:tcW w:type="dxa" w:w="2556"/>
          </w:tcPr>
          <w:p>
            <w:pPr>
              <w:spacing w:after="40"/>
            </w:pPr>
            <w:r>
              <w:rPr>
                <w:sz w:val="18"/>
              </w:rPr>
            </w:r>
            <w:r>
              <w:rPr>
                <w:b w:val="0"/>
                <w:i w:val="0"/>
                <w:sz w:val="18"/>
              </w:rPr>
              <w:t>Gray</w:t>
            </w:r>
          </w:p>
        </w:tc>
        <w:tc>
          <w:tcPr>
            <w:tcW w:type="dxa" w:w="2556"/>
          </w:tcPr>
          <w:p>
            <w:pPr>
              <w:spacing w:after="40"/>
            </w:pPr>
            <w:r>
              <w:rPr>
                <w:sz w:val="18"/>
              </w:rPr>
            </w:r>
            <w:r>
              <w:rPr>
                <w:b w:val="0"/>
                <w:i w:val="0"/>
                <w:sz w:val="18"/>
              </w:rPr>
              <w:t>Glycolytic inhibitor</w:t>
            </w:r>
          </w:p>
        </w:tc>
        <w:tc>
          <w:tcPr>
            <w:tcW w:type="dxa" w:w="255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Study</w:t>
            </w:r>
          </w:p>
        </w:tc>
        <w:tc>
          <w:tcPr>
            <w:tcW w:type="dxa" w:w="3408"/>
            <w:shd w:val="clear" w:color="auto" w:fill="69406C"/>
          </w:tcPr>
          <w:p>
            <w:pPr>
              <w:spacing w:after="40"/>
            </w:pPr>
            <w:r>
              <w:rPr>
                <w:b/>
                <w:color w:val="FFFFFF"/>
                <w:sz w:val="18"/>
              </w:rPr>
            </w:r>
            <w:r>
              <w:rPr>
                <w:b/>
                <w:i w:val="0"/>
                <w:color w:val="FFFFFF"/>
                <w:sz w:val="18"/>
              </w:rPr>
              <w:t>Purpose and use</w:t>
            </w:r>
          </w:p>
        </w:tc>
        <w:tc>
          <w:tcPr>
            <w:tcW w:type="dxa" w:w="3408"/>
            <w:shd w:val="clear" w:color="auto" w:fill="69406C"/>
          </w:tcPr>
          <w:p>
            <w:pPr>
              <w:spacing w:after="40"/>
            </w:pPr>
            <w:r>
              <w:rPr>
                <w:b/>
                <w:color w:val="FFFFFF"/>
                <w:sz w:val="18"/>
              </w:rPr>
            </w:r>
            <w:r>
              <w:rPr>
                <w:b/>
                <w:i w:val="0"/>
                <w:color w:val="FFFFFF"/>
                <w:sz w:val="18"/>
              </w:rPr>
              <w:t>The detail that gets tested</w:t>
            </w:r>
          </w:p>
        </w:tc>
      </w:tr>
      <w:tr>
        <w:tc>
          <w:tcPr>
            <w:tcW w:type="dxa" w:w="3408"/>
          </w:tcPr>
          <w:p>
            <w:pPr>
              <w:spacing w:after="40"/>
            </w:pPr>
            <w:r>
              <w:rPr>
                <w:sz w:val="18"/>
              </w:rPr>
            </w:r>
            <w:r>
              <w:rPr>
                <w:b/>
                <w:i w:val="0"/>
                <w:sz w:val="18"/>
              </w:rPr>
              <w:t>Stool studies</w:t>
            </w:r>
          </w:p>
        </w:tc>
        <w:tc>
          <w:tcPr>
            <w:tcW w:type="dxa" w:w="3408"/>
          </w:tcPr>
          <w:p>
            <w:pPr>
              <w:spacing w:after="40"/>
            </w:pPr>
            <w:r>
              <w:rPr>
                <w:sz w:val="18"/>
              </w:rPr>
            </w:r>
            <w:r>
              <w:rPr>
                <w:b w:val="0"/>
                <w:i w:val="0"/>
                <w:sz w:val="18"/>
              </w:rPr>
              <w:t>Non-invasive; diagnostic or screening. Indications: diarrhea, excessive flatus, abdominal discomfort, change in stool colour, recent travel, well water, prolonged antibiotics. Identifies overgrowth of normal flora, toxins, acquired bacteria, parasites</w:t>
            </w:r>
          </w:p>
        </w:tc>
        <w:tc>
          <w:tcPr>
            <w:tcW w:type="dxa" w:w="340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3408"/>
          </w:tcPr>
          <w:p>
            <w:pPr>
              <w:spacing w:after="40"/>
            </w:pPr>
            <w:r>
              <w:rPr>
                <w:sz w:val="18"/>
              </w:rPr>
            </w:r>
            <w:r>
              <w:rPr>
                <w:b/>
                <w:i w:val="0"/>
                <w:sz w:val="18"/>
              </w:rPr>
              <w:t>Ova &amp; parasites</w:t>
            </w:r>
          </w:p>
        </w:tc>
        <w:tc>
          <w:tcPr>
            <w:tcW w:type="dxa" w:w="3408"/>
          </w:tcPr>
          <w:p>
            <w:pPr>
              <w:spacing w:after="40"/>
            </w:pPr>
            <w:r>
              <w:rPr>
                <w:sz w:val="18"/>
              </w:rPr>
            </w:r>
            <w:r>
              <w:rPr>
                <w:b w:val="0"/>
                <w:i w:val="0"/>
                <w:sz w:val="18"/>
              </w:rPr>
              <w:t>Part of stool studies</w:t>
            </w:r>
          </w:p>
        </w:tc>
        <w:tc>
          <w:tcPr>
            <w:tcW w:type="dxa" w:w="340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3408"/>
          </w:tcPr>
          <w:p>
            <w:pPr>
              <w:spacing w:after="40"/>
            </w:pPr>
            <w:r>
              <w:rPr>
                <w:sz w:val="18"/>
              </w:rPr>
            </w:r>
            <w:r>
              <w:rPr>
                <w:b/>
                <w:i w:val="0"/>
                <w:sz w:val="18"/>
              </w:rPr>
              <w:t>Guaiac</w:t>
            </w:r>
          </w:p>
        </w:tc>
        <w:tc>
          <w:tcPr>
            <w:tcW w:type="dxa" w:w="3408"/>
          </w:tcPr>
          <w:p>
            <w:pPr>
              <w:spacing w:after="40"/>
            </w:pPr>
            <w:r>
              <w:rPr>
                <w:sz w:val="18"/>
              </w:rPr>
            </w:r>
            <w:r>
              <w:rPr>
                <w:b w:val="0"/>
                <w:i w:val="0"/>
                <w:sz w:val="18"/>
              </w:rPr>
              <w:t>Detects fecal occult blood; from a specimen or from the gloved finger after digital rectal examination</w:t>
            </w:r>
          </w:p>
        </w:tc>
        <w:tc>
          <w:tcPr>
            <w:tcW w:type="dxa" w:w="3408"/>
          </w:tcPr>
          <w:p>
            <w:pPr>
              <w:spacing w:after="40"/>
            </w:pPr>
            <w:r>
              <w:rPr>
                <w:sz w:val="18"/>
              </w:rPr>
            </w:r>
            <w:r>
              <w:rPr>
                <w:b w:val="0"/>
                <w:i w:val="0"/>
                <w:sz w:val="18"/>
              </w:rPr>
              <w:t xml:space="preserve">Heme oxidises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3408"/>
          </w:tcPr>
          <w:p>
            <w:pPr>
              <w:spacing w:after="40"/>
            </w:pPr>
            <w:r>
              <w:rPr>
                <w:sz w:val="18"/>
              </w:rPr>
            </w:r>
            <w:r>
              <w:rPr>
                <w:b/>
                <w:i w:val="0"/>
                <w:sz w:val="18"/>
              </w:rPr>
              <w:t>Blood cultures</w:t>
            </w:r>
          </w:p>
        </w:tc>
        <w:tc>
          <w:tcPr>
            <w:tcW w:type="dxa" w:w="340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340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3408"/>
          </w:tcPr>
          <w:p>
            <w:pPr>
              <w:spacing w:after="40"/>
            </w:pPr>
            <w:r>
              <w:rPr>
                <w:sz w:val="18"/>
              </w:rPr>
            </w:r>
            <w:r>
              <w:rPr>
                <w:b/>
                <w:i w:val="0"/>
                <w:sz w:val="18"/>
              </w:rPr>
              <w:t>Sputum culture</w:t>
            </w:r>
          </w:p>
        </w:tc>
        <w:tc>
          <w:tcPr>
            <w:tcW w:type="dxa" w:w="3408"/>
          </w:tcPr>
          <w:p>
            <w:pPr>
              <w:spacing w:after="40"/>
            </w:pPr>
            <w:r>
              <w:rPr>
                <w:sz w:val="18"/>
              </w:rPr>
            </w:r>
            <w:r>
              <w:rPr>
                <w:b w:val="0"/>
                <w:i w:val="0"/>
                <w:sz w:val="18"/>
              </w:rPr>
              <w:t>Identifies respiratory pathogens and directs treatment</w:t>
            </w:r>
          </w:p>
        </w:tc>
        <w:tc>
          <w:tcPr>
            <w:tcW w:type="dxa" w:w="340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3408"/>
          </w:tcPr>
          <w:p>
            <w:pPr>
              <w:spacing w:after="40"/>
            </w:pPr>
            <w:r>
              <w:rPr>
                <w:sz w:val="18"/>
              </w:rPr>
            </w:r>
            <w:r>
              <w:rPr>
                <w:b/>
                <w:i w:val="0"/>
                <w:sz w:val="18"/>
              </w:rPr>
              <w:t>Throat culture</w:t>
            </w:r>
          </w:p>
        </w:tc>
        <w:tc>
          <w:tcPr>
            <w:tcW w:type="dxa" w:w="340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340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Universal features</w:t>
            </w:r>
          </w:p>
        </w:tc>
      </w:tr>
      <w:tr>
        <w:tc>
          <w:tcPr>
            <w:tcW w:type="dxa" w:w="1022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Common in primary care</w:t>
            </w:r>
          </w:p>
        </w:tc>
        <w:tc>
          <w:tcPr>
            <w:tcW w:type="dxa" w:w="5112"/>
            <w:shd w:val="clear" w:color="auto" w:fill="69406C"/>
          </w:tcPr>
          <w:p>
            <w:pPr>
              <w:spacing w:after="40"/>
            </w:pPr>
            <w:r>
              <w:rPr>
                <w:b/>
                <w:color w:val="FFFFFF"/>
                <w:sz w:val="18"/>
              </w:rPr>
            </w:r>
            <w:r>
              <w:rPr>
                <w:b/>
                <w:i w:val="0"/>
                <w:color w:val="FFFFFF"/>
                <w:sz w:val="18"/>
              </w:rPr>
              <w:t>Common in acute care</w:t>
            </w:r>
          </w:p>
        </w:tc>
      </w:tr>
      <w:tr>
        <w:tc>
          <w:tcPr>
            <w:tcW w:type="dxa" w:w="511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511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Advantages</w:t>
            </w:r>
          </w:p>
        </w:tc>
        <w:tc>
          <w:tcPr>
            <w:tcW w:type="dxa" w:w="5112"/>
            <w:shd w:val="clear" w:color="auto" w:fill="69406C"/>
          </w:tcPr>
          <w:p>
            <w:pPr>
              <w:spacing w:after="40"/>
            </w:pPr>
            <w:r>
              <w:rPr>
                <w:b/>
                <w:color w:val="FFFFFF"/>
                <w:sz w:val="18"/>
              </w:rPr>
            </w:r>
            <w:r>
              <w:rPr>
                <w:b/>
                <w:i w:val="0"/>
                <w:color w:val="FFFFFF"/>
                <w:sz w:val="18"/>
              </w:rPr>
              <w:t>Limitations</w:t>
            </w:r>
          </w:p>
        </w:tc>
      </w:tr>
      <w:tr>
        <w:tc>
          <w:tcPr>
            <w:tcW w:type="dxa" w:w="511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511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standardised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p>
        </w:tc>
        <w:tc>
          <w:tcPr>
            <w:tcW w:type="dxa" w:w="3408"/>
            <w:shd w:val="clear" w:color="auto" w:fill="69406C"/>
          </w:tcPr>
          <w:p>
            <w:pPr>
              <w:spacing w:after="40"/>
            </w:pPr>
            <w:r>
              <w:rPr>
                <w:b/>
                <w:color w:val="FFFFFF"/>
                <w:sz w:val="18"/>
              </w:rPr>
            </w:r>
            <w:r>
              <w:rPr>
                <w:b/>
                <w:i w:val="0"/>
                <w:color w:val="FFFFFF"/>
                <w:sz w:val="18"/>
              </w:rPr>
              <w:t>Qualitative</w:t>
            </w:r>
          </w:p>
        </w:tc>
        <w:tc>
          <w:tcPr>
            <w:tcW w:type="dxa" w:w="3408"/>
            <w:shd w:val="clear" w:color="auto" w:fill="69406C"/>
          </w:tcPr>
          <w:p>
            <w:pPr>
              <w:spacing w:after="40"/>
            </w:pPr>
            <w:r>
              <w:rPr>
                <w:b/>
                <w:color w:val="FFFFFF"/>
                <w:sz w:val="18"/>
              </w:rPr>
            </w:r>
            <w:r>
              <w:rPr>
                <w:b/>
                <w:i w:val="0"/>
                <w:color w:val="FFFFFF"/>
                <w:sz w:val="18"/>
              </w:rPr>
              <w:t>Quantitative</w:t>
            </w:r>
          </w:p>
        </w:tc>
      </w:tr>
      <w:tr>
        <w:tc>
          <w:tcPr>
            <w:tcW w:type="dxa" w:w="3408"/>
          </w:tcPr>
          <w:p>
            <w:pPr>
              <w:spacing w:after="40"/>
            </w:pPr>
            <w:r>
              <w:rPr>
                <w:sz w:val="18"/>
              </w:rPr>
            </w:r>
            <w:r>
              <w:rPr>
                <w:b w:val="0"/>
                <w:i w:val="0"/>
                <w:sz w:val="18"/>
              </w:rPr>
              <w:t>Answers</w:t>
            </w:r>
          </w:p>
        </w:tc>
        <w:tc>
          <w:tcPr>
            <w:tcW w:type="dxa" w:w="3408"/>
          </w:tcPr>
          <w:p>
            <w:pPr>
              <w:spacing w:after="40"/>
            </w:pPr>
            <w:r>
              <w:rPr>
                <w:sz w:val="18"/>
              </w:rPr>
            </w:r>
            <w:r>
              <w:rPr>
                <w:b w:val="0"/>
                <w:i w:val="0"/>
                <w:sz w:val="18"/>
              </w:rPr>
              <w:t>“Why” questions</w:t>
            </w:r>
          </w:p>
        </w:tc>
        <w:tc>
          <w:tcPr>
            <w:tcW w:type="dxa" w:w="3408"/>
          </w:tcPr>
          <w:p>
            <w:pPr>
              <w:spacing w:after="40"/>
            </w:pPr>
            <w:r>
              <w:rPr>
                <w:sz w:val="18"/>
              </w:rPr>
            </w:r>
            <w:r>
              <w:rPr>
                <w:b w:val="0"/>
                <w:i w:val="0"/>
                <w:sz w:val="18"/>
              </w:rPr>
              <w:t>“How many / how much” questions</w:t>
            </w:r>
          </w:p>
        </w:tc>
      </w:tr>
      <w:tr>
        <w:tc>
          <w:tcPr>
            <w:tcW w:type="dxa" w:w="3408"/>
          </w:tcPr>
          <w:p>
            <w:pPr>
              <w:spacing w:after="40"/>
            </w:pPr>
            <w:r>
              <w:rPr>
                <w:sz w:val="18"/>
              </w:rPr>
            </w:r>
            <w:r>
              <w:rPr>
                <w:b w:val="0"/>
                <w:i w:val="0"/>
                <w:sz w:val="18"/>
              </w:rPr>
              <w:t>Data</w:t>
            </w:r>
          </w:p>
        </w:tc>
        <w:tc>
          <w:tcPr>
            <w:tcW w:type="dxa" w:w="3408"/>
          </w:tcPr>
          <w:p>
            <w:pPr>
              <w:spacing w:after="40"/>
            </w:pPr>
            <w:r>
              <w:rPr>
                <w:sz w:val="18"/>
              </w:rPr>
            </w:r>
            <w:r>
              <w:rPr>
                <w:b w:val="0"/>
                <w:i w:val="0"/>
                <w:sz w:val="18"/>
              </w:rPr>
              <w:t>Observation, description</w:t>
            </w:r>
          </w:p>
        </w:tc>
        <w:tc>
          <w:tcPr>
            <w:tcW w:type="dxa" w:w="3408"/>
          </w:tcPr>
          <w:p>
            <w:pPr>
              <w:spacing w:after="40"/>
            </w:pPr>
            <w:r>
              <w:rPr>
                <w:sz w:val="18"/>
              </w:rPr>
            </w:r>
            <w:r>
              <w:rPr>
                <w:b w:val="0"/>
                <w:i w:val="0"/>
                <w:sz w:val="18"/>
              </w:rPr>
              <w:t>Numbers, statistical results</w:t>
            </w:r>
          </w:p>
        </w:tc>
      </w:tr>
      <w:tr>
        <w:tc>
          <w:tcPr>
            <w:tcW w:type="dxa" w:w="3408"/>
          </w:tcPr>
          <w:p>
            <w:pPr>
              <w:spacing w:after="40"/>
            </w:pPr>
            <w:r>
              <w:rPr>
                <w:sz w:val="18"/>
              </w:rPr>
            </w:r>
            <w:r>
              <w:rPr>
                <w:b w:val="0"/>
                <w:i w:val="0"/>
                <w:sz w:val="18"/>
              </w:rPr>
              <w:t>Approach</w:t>
            </w:r>
          </w:p>
        </w:tc>
        <w:tc>
          <w:tcPr>
            <w:tcW w:type="dxa" w:w="3408"/>
          </w:tcPr>
          <w:p>
            <w:pPr>
              <w:spacing w:after="40"/>
            </w:pPr>
            <w:r>
              <w:rPr>
                <w:sz w:val="18"/>
              </w:rPr>
            </w:r>
            <w:r>
              <w:rPr>
                <w:b w:val="0"/>
                <w:i w:val="0"/>
                <w:sz w:val="18"/>
              </w:rPr>
              <w:t>Observe and interpret</w:t>
            </w:r>
          </w:p>
        </w:tc>
        <w:tc>
          <w:tcPr>
            <w:tcW w:type="dxa" w:w="3408"/>
          </w:tcPr>
          <w:p>
            <w:pPr>
              <w:spacing w:after="40"/>
            </w:pPr>
            <w:r>
              <w:rPr>
                <w:sz w:val="18"/>
              </w:rPr>
            </w:r>
            <w:r>
              <w:rPr>
                <w:b w:val="0"/>
                <w:i w:val="0"/>
                <w:sz w:val="18"/>
              </w:rPr>
              <w:t>Measure and test</w:t>
            </w:r>
          </w:p>
        </w:tc>
      </w:tr>
      <w:tr>
        <w:tc>
          <w:tcPr>
            <w:tcW w:type="dxa" w:w="3408"/>
          </w:tcPr>
          <w:p>
            <w:pPr>
              <w:spacing w:after="40"/>
            </w:pPr>
            <w:r>
              <w:rPr>
                <w:sz w:val="18"/>
              </w:rPr>
            </w:r>
            <w:r>
              <w:rPr>
                <w:b w:val="0"/>
                <w:i w:val="0"/>
                <w:sz w:val="18"/>
              </w:rPr>
              <w:t>Analysis</w:t>
            </w:r>
          </w:p>
        </w:tc>
        <w:tc>
          <w:tcPr>
            <w:tcW w:type="dxa" w:w="3408"/>
          </w:tcPr>
          <w:p>
            <w:pPr>
              <w:spacing w:after="40"/>
            </w:pPr>
            <w:r>
              <w:rPr>
                <w:sz w:val="18"/>
              </w:rPr>
            </w:r>
            <w:r>
              <w:rPr>
                <w:b w:val="0"/>
                <w:i w:val="0"/>
                <w:sz w:val="18"/>
              </w:rPr>
              <w:t>Grouping of common data; non-statistical</w:t>
            </w:r>
          </w:p>
        </w:tc>
        <w:tc>
          <w:tcPr>
            <w:tcW w:type="dxa" w:w="340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Analyser type</w:t>
            </w:r>
          </w:p>
        </w:tc>
        <w:tc>
          <w:tcPr>
            <w:tcW w:type="dxa" w:w="5112"/>
            <w:shd w:val="clear" w:color="auto" w:fill="69406C"/>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Qualitative or semi-quantitative cartridge</w:t>
            </w:r>
          </w:p>
        </w:tc>
        <w:tc>
          <w:tcPr>
            <w:tcW w:type="dxa" w:w="511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5112"/>
          </w:tcPr>
          <w:p>
            <w:pPr>
              <w:spacing w:after="40"/>
            </w:pPr>
            <w:r>
              <w:rPr>
                <w:sz w:val="18"/>
              </w:rPr>
            </w:r>
            <w:r>
              <w:rPr>
                <w:b w:val="0"/>
                <w:i w:val="0"/>
                <w:sz w:val="18"/>
              </w:rPr>
              <w:t>Single-use quantitative cartridge or strip with a reader</w:t>
            </w:r>
          </w:p>
        </w:tc>
        <w:tc>
          <w:tcPr>
            <w:tcW w:type="dxa" w:w="511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5112"/>
          </w:tcPr>
          <w:p>
            <w:pPr>
              <w:spacing w:after="40"/>
            </w:pPr>
            <w:r>
              <w:rPr>
                <w:sz w:val="18"/>
              </w:rPr>
            </w:r>
            <w:r>
              <w:rPr>
                <w:b w:val="0"/>
                <w:i w:val="0"/>
                <w:sz w:val="18"/>
              </w:rPr>
              <w:t>Multiple-use quantitative cartridge / benchtop</w:t>
            </w:r>
          </w:p>
        </w:tc>
        <w:tc>
          <w:tcPr>
            <w:tcW w:type="dxa" w:w="511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Quality measures for point-of-care testing</w:t>
            </w:r>
          </w:p>
        </w:tc>
      </w:tr>
      <w:tr>
        <w:tc>
          <w:tcPr>
            <w:tcW w:type="dxa" w:w="1022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minimise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Complexity category</w:t>
            </w:r>
          </w:p>
        </w:tc>
        <w:tc>
          <w:tcPr>
            <w:tcW w:type="dxa" w:w="5112"/>
            <w:shd w:val="clear" w:color="auto" w:fill="69406C"/>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Waived</w:t>
            </w:r>
          </w:p>
        </w:tc>
        <w:tc>
          <w:tcPr>
            <w:tcW w:type="dxa" w:w="511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5112"/>
          </w:tcPr>
          <w:p>
            <w:pPr>
              <w:spacing w:after="40"/>
            </w:pPr>
            <w:r>
              <w:rPr>
                <w:sz w:val="18"/>
              </w:rPr>
            </w:r>
            <w:r>
              <w:rPr>
                <w:b w:val="0"/>
                <w:i w:val="0"/>
                <w:sz w:val="18"/>
              </w:rPr>
              <w:t>Moderately complex</w:t>
            </w:r>
          </w:p>
        </w:tc>
        <w:tc>
          <w:tcPr>
            <w:tcW w:type="dxa" w:w="511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5112"/>
          </w:tcPr>
          <w:p>
            <w:pPr>
              <w:spacing w:after="40"/>
            </w:pPr>
            <w:r>
              <w:rPr>
                <w:sz w:val="18"/>
              </w:rPr>
            </w:r>
            <w:r>
              <w:rPr>
                <w:b w:val="0"/>
                <w:i w:val="0"/>
                <w:sz w:val="18"/>
              </w:rPr>
              <w:t>Highly complex</w:t>
            </w:r>
          </w:p>
        </w:tc>
        <w:tc>
          <w:tcPr>
            <w:tcW w:type="dxa" w:w="5112"/>
          </w:tcPr>
          <w:p>
            <w:pPr>
              <w:spacing w:after="40"/>
            </w:pPr>
            <w:r>
              <w:rPr>
                <w:sz w:val="18"/>
              </w:rPr>
            </w:r>
            <w:r>
              <w:rPr>
                <w:b w:val="0"/>
                <w:i w:val="0"/>
                <w:sz w:val="18"/>
              </w:rPr>
              <w:t>Requires operator skill and decision making; not fully automated; complex instrumentation, such as cross match testing</w:t>
            </w:r>
          </w:p>
        </w:tc>
      </w:tr>
      <w:tr>
        <w:tc>
          <w:tcPr>
            <w:tcW w:type="dxa" w:w="5112"/>
          </w:tcPr>
          <w:p>
            <w:pPr>
              <w:spacing w:after="40"/>
            </w:pPr>
            <w:r>
              <w:rPr>
                <w:sz w:val="18"/>
              </w:rPr>
            </w:r>
            <w:r>
              <w:rPr>
                <w:b w:val="0"/>
                <w:i w:val="0"/>
                <w:sz w:val="18"/>
              </w:rPr>
              <w:t>Provider-performed microscopy</w:t>
            </w:r>
          </w:p>
        </w:tc>
        <w:tc>
          <w:tcPr>
            <w:tcW w:type="dxa" w:w="511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Agency</w:t>
            </w:r>
          </w:p>
        </w:tc>
        <w:tc>
          <w:tcPr>
            <w:tcW w:type="dxa" w:w="5112"/>
            <w:shd w:val="clear" w:color="auto" w:fill="69406C"/>
          </w:tcPr>
          <w:p>
            <w:pPr>
              <w:spacing w:after="40"/>
            </w:pPr>
            <w:r>
              <w:rPr>
                <w:b/>
                <w:color w:val="FFFFFF"/>
                <w:sz w:val="18"/>
              </w:rPr>
            </w:r>
            <w:r>
              <w:rPr>
                <w:b/>
                <w:i w:val="0"/>
                <w:color w:val="FFFFFF"/>
                <w:sz w:val="18"/>
              </w:rPr>
              <w:t>Role</w:t>
            </w:r>
          </w:p>
        </w:tc>
      </w:tr>
      <w:tr>
        <w:tc>
          <w:tcPr>
            <w:tcW w:type="dxa" w:w="5112"/>
          </w:tcPr>
          <w:p>
            <w:pPr>
              <w:spacing w:after="40"/>
            </w:pPr>
            <w:r>
              <w:rPr>
                <w:sz w:val="18"/>
              </w:rPr>
            </w:r>
            <w:r>
              <w:rPr>
                <w:b w:val="0"/>
                <w:i w:val="0"/>
                <w:sz w:val="18"/>
              </w:rPr>
              <w:t>Centers for Medicare &amp; Medicaid Services</w:t>
            </w:r>
          </w:p>
        </w:tc>
        <w:tc>
          <w:tcPr>
            <w:tcW w:type="dxa" w:w="511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5112"/>
          </w:tcPr>
          <w:p>
            <w:pPr>
              <w:spacing w:after="40"/>
            </w:pPr>
            <w:r>
              <w:rPr>
                <w:sz w:val="18"/>
              </w:rPr>
            </w:r>
            <w:r>
              <w:rPr>
                <w:b w:val="0"/>
                <w:i w:val="0"/>
                <w:sz w:val="18"/>
              </w:rPr>
              <w:t>Food and Drug Administration</w:t>
            </w:r>
          </w:p>
        </w:tc>
        <w:tc>
          <w:tcPr>
            <w:tcW w:type="dxa" w:w="511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5112"/>
          </w:tcPr>
          <w:p>
            <w:pPr>
              <w:spacing w:after="40"/>
            </w:pPr>
            <w:r>
              <w:rPr>
                <w:sz w:val="18"/>
              </w:rPr>
            </w:r>
            <w:r>
              <w:rPr>
                <w:b w:val="0"/>
                <w:i w:val="0"/>
                <w:sz w:val="18"/>
              </w:rPr>
              <w:t>Centers for Disease Control and Prevention</w:t>
            </w:r>
          </w:p>
        </w:tc>
        <w:tc>
          <w:tcPr>
            <w:tcW w:type="dxa" w:w="511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licence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p>
        </w:tc>
        <w:tc>
          <w:tcPr>
            <w:tcW w:type="dxa" w:w="3408"/>
            <w:shd w:val="clear" w:color="auto" w:fill="69406C"/>
          </w:tcPr>
          <w:p>
            <w:pPr>
              <w:spacing w:after="40"/>
            </w:pPr>
            <w:r>
              <w:rPr>
                <w:b/>
                <w:color w:val="FFFFFF"/>
                <w:sz w:val="18"/>
              </w:rPr>
            </w:r>
            <w:r>
              <w:rPr>
                <w:b/>
                <w:i w:val="0"/>
                <w:color w:val="FFFFFF"/>
                <w:sz w:val="18"/>
              </w:rPr>
              <w:t>Screening</w:t>
            </w:r>
          </w:p>
        </w:tc>
        <w:tc>
          <w:tcPr>
            <w:tcW w:type="dxa" w:w="3408"/>
            <w:shd w:val="clear" w:color="auto" w:fill="69406C"/>
          </w:tcPr>
          <w:p>
            <w:pPr>
              <w:spacing w:after="40"/>
            </w:pPr>
            <w:r>
              <w:rPr>
                <w:b/>
                <w:color w:val="FFFFFF"/>
                <w:sz w:val="18"/>
              </w:rPr>
            </w:r>
            <w:r>
              <w:rPr>
                <w:b/>
                <w:i w:val="0"/>
                <w:color w:val="FFFFFF"/>
                <w:sz w:val="18"/>
              </w:rPr>
              <w:t>Diagnostic</w:t>
            </w:r>
          </w:p>
        </w:tc>
      </w:tr>
      <w:tr>
        <w:tc>
          <w:tcPr>
            <w:tcW w:type="dxa" w:w="3408"/>
          </w:tcPr>
          <w:p>
            <w:pPr>
              <w:spacing w:after="40"/>
            </w:pPr>
            <w:r>
              <w:rPr>
                <w:sz w:val="18"/>
              </w:rPr>
            </w:r>
            <w:r>
              <w:rPr>
                <w:b w:val="0"/>
                <w:i w:val="0"/>
                <w:sz w:val="18"/>
              </w:rPr>
              <w:t>Who</w:t>
            </w:r>
          </w:p>
        </w:tc>
        <w:tc>
          <w:tcPr>
            <w:tcW w:type="dxa" w:w="3408"/>
          </w:tcPr>
          <w:p>
            <w:pPr>
              <w:spacing w:after="40"/>
            </w:pPr>
            <w:r>
              <w:rPr>
                <w:sz w:val="18"/>
              </w:rPr>
            </w:r>
            <w:r>
              <w:rPr>
                <w:b/>
                <w:i w:val="0"/>
                <w:sz w:val="18"/>
              </w:rPr>
              <w:t>Asymptomatic</w:t>
            </w:r>
            <w:r>
              <w:rPr>
                <w:b w:val="0"/>
                <w:i w:val="0"/>
                <w:sz w:val="18"/>
              </w:rPr>
              <w:t xml:space="preserve"> person — looking for evidence of disease</w:t>
            </w:r>
          </w:p>
        </w:tc>
        <w:tc>
          <w:tcPr>
            <w:tcW w:type="dxa" w:w="340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3408"/>
          </w:tcPr>
          <w:p>
            <w:pPr>
              <w:spacing w:after="40"/>
            </w:pPr>
            <w:r>
              <w:rPr>
                <w:sz w:val="18"/>
              </w:rPr>
            </w:r>
            <w:r>
              <w:rPr>
                <w:b w:val="0"/>
                <w:i w:val="0"/>
                <w:sz w:val="18"/>
              </w:rPr>
              <w:t>Character</w:t>
            </w:r>
          </w:p>
        </w:tc>
        <w:tc>
          <w:tcPr>
            <w:tcW w:type="dxa" w:w="3408"/>
          </w:tcPr>
          <w:p>
            <w:pPr>
              <w:spacing w:after="40"/>
            </w:pPr>
            <w:r>
              <w:rPr>
                <w:sz w:val="18"/>
              </w:rPr>
            </w:r>
            <w:r>
              <w:rPr>
                <w:b w:val="0"/>
                <w:i w:val="0"/>
                <w:sz w:val="18"/>
              </w:rPr>
              <w:t>Typically inexpensive, easy to perform</w:t>
            </w:r>
          </w:p>
        </w:tc>
        <w:tc>
          <w:tcPr>
            <w:tcW w:type="dxa" w:w="3408"/>
          </w:tcPr>
          <w:p>
            <w:pPr>
              <w:spacing w:after="40"/>
            </w:pPr>
            <w:r>
              <w:rPr>
                <w:sz w:val="18"/>
              </w:rPr>
            </w:r>
            <w:r>
              <w:rPr>
                <w:b w:val="0"/>
                <w:i w:val="0"/>
                <w:sz w:val="18"/>
              </w:rPr>
              <w:t>May be more invasive, with risk of complications</w:t>
            </w:r>
          </w:p>
        </w:tc>
      </w:tr>
      <w:tr>
        <w:tc>
          <w:tcPr>
            <w:tcW w:type="dxa" w:w="3408"/>
          </w:tcPr>
          <w:p>
            <w:pPr>
              <w:spacing w:after="40"/>
            </w:pPr>
            <w:r>
              <w:rPr>
                <w:sz w:val="18"/>
              </w:rPr>
            </w:r>
            <w:r>
              <w:rPr>
                <w:b w:val="0"/>
                <w:i w:val="0"/>
                <w:sz w:val="18"/>
              </w:rPr>
              <w:t>Output</w:t>
            </w:r>
          </w:p>
        </w:tc>
        <w:tc>
          <w:tcPr>
            <w:tcW w:type="dxa" w:w="3408"/>
          </w:tcPr>
          <w:p>
            <w:pPr>
              <w:spacing w:after="40"/>
            </w:pPr>
            <w:r>
              <w:rPr>
                <w:sz w:val="18"/>
              </w:rPr>
            </w:r>
            <w:r>
              <w:rPr>
                <w:b w:val="0"/>
                <w:i w:val="0"/>
                <w:sz w:val="18"/>
              </w:rPr>
              <w:t>Indicates whether more testing is needed; not necessarily a diagnosis</w:t>
            </w:r>
          </w:p>
        </w:tc>
        <w:tc>
          <w:tcPr>
            <w:tcW w:type="dxa" w:w="3408"/>
          </w:tcPr>
          <w:p>
            <w:pPr>
              <w:spacing w:after="40"/>
            </w:pPr>
            <w:r>
              <w:rPr>
                <w:sz w:val="18"/>
              </w:rPr>
            </w:r>
            <w:r>
              <w:rPr>
                <w:b w:val="0"/>
                <w:i w:val="0"/>
                <w:sz w:val="18"/>
              </w:rPr>
              <w:t>Confirmation — the “definitive” diagnosis</w:t>
            </w:r>
          </w:p>
        </w:tc>
      </w:tr>
      <w:tr>
        <w:tc>
          <w:tcPr>
            <w:tcW w:type="dxa" w:w="3408"/>
          </w:tcPr>
          <w:p>
            <w:pPr>
              <w:spacing w:after="40"/>
            </w:pPr>
            <w:r>
              <w:rPr>
                <w:sz w:val="18"/>
              </w:rPr>
            </w:r>
            <w:r>
              <w:rPr>
                <w:b w:val="0"/>
                <w:i w:val="0"/>
                <w:sz w:val="18"/>
              </w:rPr>
              <w:t>Sequence</w:t>
            </w:r>
          </w:p>
        </w:tc>
        <w:tc>
          <w:tcPr>
            <w:tcW w:type="dxa" w:w="3408"/>
          </w:tcPr>
          <w:p>
            <w:pPr>
              <w:spacing w:after="40"/>
            </w:pPr>
            <w:r>
              <w:rPr>
                <w:sz w:val="18"/>
              </w:rPr>
            </w:r>
            <w:r>
              <w:rPr>
                <w:b w:val="0"/>
                <w:i w:val="0"/>
                <w:sz w:val="18"/>
              </w:rPr>
              <w:t>Do this first, before the expensive or time-consuming test</w:t>
            </w:r>
          </w:p>
        </w:tc>
        <w:tc>
          <w:tcPr>
            <w:tcW w:type="dxa" w:w="340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p>
        </w:tc>
        <w:tc>
          <w:tcPr>
            <w:tcW w:type="dxa" w:w="3408"/>
            <w:shd w:val="clear" w:color="auto" w:fill="69406C"/>
          </w:tcPr>
          <w:p>
            <w:pPr>
              <w:spacing w:after="40"/>
            </w:pPr>
            <w:r>
              <w:rPr>
                <w:b/>
                <w:color w:val="FFFFFF"/>
                <w:sz w:val="18"/>
              </w:rPr>
            </w:r>
            <w:r>
              <w:rPr>
                <w:b/>
                <w:i w:val="0"/>
                <w:color w:val="FFFFFF"/>
                <w:sz w:val="18"/>
              </w:rPr>
              <w:t>Sensitivity</w:t>
            </w:r>
          </w:p>
        </w:tc>
        <w:tc>
          <w:tcPr>
            <w:tcW w:type="dxa" w:w="3408"/>
            <w:shd w:val="clear" w:color="auto" w:fill="69406C"/>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Measures</w:t>
            </w:r>
          </w:p>
        </w:tc>
        <w:tc>
          <w:tcPr>
            <w:tcW w:type="dxa" w:w="340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340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3408"/>
          </w:tcPr>
          <w:p>
            <w:pPr>
              <w:spacing w:after="40"/>
            </w:pPr>
            <w:r>
              <w:rPr>
                <w:sz w:val="18"/>
              </w:rPr>
            </w:r>
            <w:r>
              <w:rPr>
                <w:b w:val="0"/>
                <w:i w:val="0"/>
                <w:sz w:val="18"/>
              </w:rPr>
              <w:t>Good at</w:t>
            </w:r>
          </w:p>
        </w:tc>
        <w:tc>
          <w:tcPr>
            <w:tcW w:type="dxa" w:w="3408"/>
          </w:tcPr>
          <w:p>
            <w:pPr>
              <w:spacing w:after="40"/>
            </w:pPr>
            <w:r>
              <w:rPr>
                <w:sz w:val="18"/>
              </w:rPr>
            </w:r>
            <w:r>
              <w:rPr>
                <w:b/>
                <w:i w:val="0"/>
                <w:sz w:val="18"/>
              </w:rPr>
              <w:t>Detecting</w:t>
            </w:r>
            <w:r>
              <w:rPr>
                <w:b w:val="0"/>
                <w:i w:val="0"/>
                <w:sz w:val="18"/>
              </w:rPr>
              <w:t xml:space="preserve"> disease</w:t>
            </w:r>
          </w:p>
        </w:tc>
        <w:tc>
          <w:tcPr>
            <w:tcW w:type="dxa" w:w="3408"/>
          </w:tcPr>
          <w:p>
            <w:pPr>
              <w:spacing w:after="40"/>
            </w:pPr>
            <w:r>
              <w:rPr>
                <w:sz w:val="18"/>
              </w:rPr>
            </w:r>
            <w:r>
              <w:rPr>
                <w:b/>
                <w:i w:val="0"/>
                <w:sz w:val="18"/>
              </w:rPr>
              <w:t>Excluding</w:t>
            </w:r>
            <w:r>
              <w:rPr>
                <w:b w:val="0"/>
                <w:i w:val="0"/>
                <w:sz w:val="18"/>
              </w:rPr>
              <w:t xml:space="preserve"> disease</w:t>
            </w:r>
          </w:p>
        </w:tc>
      </w:tr>
      <w:tr>
        <w:tc>
          <w:tcPr>
            <w:tcW w:type="dxa" w:w="3408"/>
          </w:tcPr>
          <w:p>
            <w:pPr>
              <w:spacing w:after="40"/>
            </w:pPr>
            <w:r>
              <w:rPr>
                <w:sz w:val="18"/>
              </w:rPr>
            </w:r>
            <w:r>
              <w:rPr>
                <w:b w:val="0"/>
                <w:i w:val="0"/>
                <w:sz w:val="18"/>
              </w:rPr>
              <w:t>Fewer</w:t>
            </w:r>
          </w:p>
        </w:tc>
        <w:tc>
          <w:tcPr>
            <w:tcW w:type="dxa" w:w="3408"/>
          </w:tcPr>
          <w:p>
            <w:pPr>
              <w:spacing w:after="40"/>
            </w:pPr>
            <w:r>
              <w:rPr>
                <w:sz w:val="18"/>
              </w:rPr>
            </w:r>
            <w:r>
              <w:rPr>
                <w:b w:val="0"/>
                <w:i w:val="0"/>
                <w:sz w:val="18"/>
              </w:rPr>
              <w:t xml:space="preserve">False negatives </w:t>
            </w:r>
            <w:r>
              <w:rPr>
                <w:b w:val="0"/>
                <w:i w:val="0"/>
                <w:sz w:val="18"/>
              </w:rPr>
              <w:t>does not address false positives</w:t>
            </w:r>
          </w:p>
        </w:tc>
        <w:tc>
          <w:tcPr>
            <w:tcW w:type="dxa" w:w="3408"/>
          </w:tcPr>
          <w:p>
            <w:pPr>
              <w:spacing w:after="40"/>
            </w:pPr>
            <w:r>
              <w:rPr>
                <w:sz w:val="18"/>
              </w:rPr>
            </w:r>
            <w:r>
              <w:rPr>
                <w:b w:val="0"/>
                <w:i w:val="0"/>
                <w:sz w:val="18"/>
              </w:rPr>
              <w:t xml:space="preserve">False positives </w:t>
            </w:r>
            <w:r>
              <w:rPr>
                <w:b w:val="0"/>
                <w:i w:val="0"/>
                <w:sz w:val="18"/>
              </w:rPr>
              <w:t>does not address false negatives</w:t>
            </w:r>
          </w:p>
        </w:tc>
      </w:tr>
      <w:tr>
        <w:tc>
          <w:tcPr>
            <w:tcW w:type="dxa" w:w="3408"/>
          </w:tcPr>
          <w:p>
            <w:pPr>
              <w:spacing w:after="40"/>
            </w:pPr>
            <w:r>
              <w:rPr>
                <w:sz w:val="18"/>
              </w:rPr>
            </w:r>
            <w:r>
              <w:rPr>
                <w:b w:val="0"/>
                <w:i w:val="0"/>
                <w:sz w:val="18"/>
              </w:rPr>
              <w:t>Mnemonic</w:t>
            </w:r>
          </w:p>
        </w:tc>
        <w:tc>
          <w:tcPr>
            <w:tcW w:type="dxa" w:w="340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340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3408"/>
          </w:tcPr>
          <w:p>
            <w:pPr>
              <w:spacing w:after="40"/>
            </w:pPr>
            <w:r>
              <w:rPr>
                <w:sz w:val="18"/>
              </w:rPr>
            </w:r>
            <w:r>
              <w:rPr>
                <w:b w:val="0"/>
                <w:i w:val="0"/>
                <w:sz w:val="18"/>
              </w:rPr>
              <w:t>Best for</w:t>
            </w:r>
          </w:p>
        </w:tc>
        <w:tc>
          <w:tcPr>
            <w:tcW w:type="dxa" w:w="3408"/>
          </w:tcPr>
          <w:p>
            <w:pPr>
              <w:spacing w:after="40"/>
            </w:pPr>
            <w:r>
              <w:rPr>
                <w:sz w:val="18"/>
              </w:rPr>
            </w:r>
            <w:r>
              <w:rPr>
                <w:b/>
                <w:i w:val="0"/>
                <w:sz w:val="18"/>
              </w:rPr>
              <w:t>Screening</w:t>
            </w:r>
          </w:p>
        </w:tc>
        <w:tc>
          <w:tcPr>
            <w:tcW w:type="dxa" w:w="3408"/>
          </w:tcPr>
          <w:p>
            <w:pPr>
              <w:spacing w:after="40"/>
            </w:pPr>
            <w:r>
              <w:rPr>
                <w:sz w:val="18"/>
              </w:rPr>
            </w:r>
            <w:r>
              <w:rPr>
                <w:b/>
                <w:i w:val="0"/>
                <w:sz w:val="18"/>
              </w:rPr>
              <w:t>Confirming</w:t>
            </w:r>
          </w:p>
        </w:tc>
      </w:tr>
      <w:tr>
        <w:tc>
          <w:tcPr>
            <w:tcW w:type="dxa" w:w="3408"/>
          </w:tcPr>
          <w:p>
            <w:pPr>
              <w:spacing w:after="40"/>
            </w:pPr>
            <w:r>
              <w:rPr>
                <w:sz w:val="18"/>
              </w:rPr>
            </w:r>
            <w:r>
              <w:rPr>
                <w:b w:val="0"/>
                <w:i w:val="0"/>
                <w:sz w:val="18"/>
              </w:rPr>
              <w:t>Example</w:t>
            </w:r>
          </w:p>
        </w:tc>
        <w:tc>
          <w:tcPr>
            <w:tcW w:type="dxa" w:w="3408"/>
          </w:tcPr>
          <w:p>
            <w:pPr>
              <w:spacing w:after="40"/>
            </w:pPr>
            <w:r>
              <w:rPr>
                <w:sz w:val="18"/>
              </w:rPr>
            </w:r>
            <w:r>
              <w:rPr>
                <w:b w:val="0"/>
                <w:i w:val="0"/>
                <w:sz w:val="18"/>
              </w:rPr>
              <w:t>Human immunodeficiency virus screening — very few infected individuals are missed</w:t>
            </w:r>
          </w:p>
        </w:tc>
        <w:tc>
          <w:tcPr>
            <w:tcW w:type="dxa" w:w="3408"/>
          </w:tcPr>
          <w:p>
            <w:pPr>
              <w:spacing w:after="40"/>
            </w:pPr>
            <w:r>
              <w:rPr>
                <w:sz w:val="18"/>
              </w:rPr>
            </w:r>
            <w:r>
              <w:rPr>
                <w:b w:val="0"/>
                <w:i w:val="0"/>
                <w:sz w:val="18"/>
              </w:rPr>
              <w:t>Human immunodeficiency virus confirmatory testing — minimises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Measure</w:t>
            </w:r>
          </w:p>
        </w:tc>
        <w:tc>
          <w:tcPr>
            <w:tcW w:type="dxa" w:w="3408"/>
            <w:shd w:val="clear" w:color="auto" w:fill="69406C"/>
          </w:tcPr>
          <w:p>
            <w:pPr>
              <w:spacing w:after="40"/>
            </w:pPr>
            <w:r>
              <w:rPr>
                <w:b/>
                <w:color w:val="FFFFFF"/>
                <w:sz w:val="18"/>
              </w:rPr>
            </w:r>
            <w:r>
              <w:rPr>
                <w:b/>
                <w:i w:val="0"/>
                <w:color w:val="FFFFFF"/>
                <w:sz w:val="18"/>
              </w:rPr>
              <w:t>Question it answers</w:t>
            </w:r>
          </w:p>
        </w:tc>
        <w:tc>
          <w:tcPr>
            <w:tcW w:type="dxa" w:w="3408"/>
            <w:shd w:val="clear" w:color="auto" w:fill="69406C"/>
          </w:tcPr>
          <w:p>
            <w:pPr>
              <w:spacing w:after="40"/>
            </w:pPr>
            <w:r>
              <w:rPr>
                <w:b/>
                <w:color w:val="FFFFFF"/>
                <w:sz w:val="18"/>
              </w:rPr>
            </w:r>
            <w:r>
              <w:rPr>
                <w:b/>
                <w:i w:val="0"/>
                <w:color w:val="FFFFFF"/>
                <w:sz w:val="18"/>
              </w:rPr>
              <w:t>Belongs to</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If the disease is present, will the test be positive?</w:t>
            </w:r>
          </w:p>
        </w:tc>
        <w:tc>
          <w:tcPr>
            <w:tcW w:type="dxa" w:w="3408"/>
          </w:tcPr>
          <w:p>
            <w:pPr>
              <w:spacing w:after="40"/>
            </w:pPr>
            <w:r>
              <w:rPr>
                <w:sz w:val="18"/>
              </w:rPr>
            </w:r>
            <w:r>
              <w:rPr>
                <w:b/>
                <w:i w:val="0"/>
                <w:sz w:val="18"/>
              </w:rPr>
              <w:t>The test</w:t>
            </w:r>
            <w:r>
              <w:rPr>
                <w:b w:val="0"/>
                <w:i w:val="0"/>
                <w:sz w:val="18"/>
              </w:rPr>
              <w:t xml:space="preserve"> — test-centered</w:t>
            </w:r>
          </w:p>
        </w:tc>
      </w:tr>
      <w:tr>
        <w:tc>
          <w:tcPr>
            <w:tcW w:type="dxa" w:w="3408"/>
          </w:tcPr>
          <w:p>
            <w:pPr>
              <w:spacing w:after="40"/>
            </w:pPr>
            <w:r>
              <w:rPr>
                <w:sz w:val="18"/>
              </w:rPr>
            </w:r>
            <w:r>
              <w:rPr>
                <w:b w:val="0"/>
                <w:i w:val="0"/>
                <w:sz w:val="18"/>
              </w:rPr>
              <w:t>Specificity</w:t>
            </w:r>
          </w:p>
        </w:tc>
        <w:tc>
          <w:tcPr>
            <w:tcW w:type="dxa" w:w="3408"/>
          </w:tcPr>
          <w:p>
            <w:pPr>
              <w:spacing w:after="40"/>
            </w:pPr>
            <w:r>
              <w:rPr>
                <w:sz w:val="18"/>
              </w:rPr>
            </w:r>
            <w:r>
              <w:rPr>
                <w:b w:val="0"/>
                <w:i w:val="0"/>
                <w:sz w:val="18"/>
              </w:rPr>
              <w:t>If the disease is absent, will the test be negative?</w:t>
            </w:r>
          </w:p>
        </w:tc>
        <w:tc>
          <w:tcPr>
            <w:tcW w:type="dxa" w:w="3408"/>
          </w:tcPr>
          <w:p>
            <w:r/>
          </w:p>
        </w:tc>
      </w:tr>
      <w:tr>
        <w:tc>
          <w:tcPr>
            <w:tcW w:type="dxa" w:w="3408"/>
          </w:tcPr>
          <w:p>
            <w:pPr>
              <w:spacing w:after="40"/>
            </w:pPr>
            <w:r>
              <w:rPr>
                <w:sz w:val="18"/>
              </w:rPr>
            </w:r>
            <w:r>
              <w:rPr>
                <w:b/>
                <w:i w:val="0"/>
                <w:sz w:val="18"/>
              </w:rPr>
              <w:t>Positive predictive value</w:t>
            </w:r>
          </w:p>
        </w:tc>
        <w:tc>
          <w:tcPr>
            <w:tcW w:type="dxa" w:w="3408"/>
          </w:tcPr>
          <w:p>
            <w:pPr>
              <w:spacing w:after="40"/>
            </w:pPr>
            <w:r>
              <w:rPr>
                <w:sz w:val="18"/>
              </w:rPr>
            </w:r>
            <w:r>
              <w:rPr>
                <w:b/>
                <w:i w:val="0"/>
                <w:sz w:val="18"/>
              </w:rPr>
              <w:t>My patient’s test is positive — do they actually have it?</w:t>
            </w:r>
          </w:p>
        </w:tc>
        <w:tc>
          <w:tcPr>
            <w:tcW w:type="dxa" w:w="3408"/>
          </w:tcPr>
          <w:p>
            <w:pPr>
              <w:spacing w:after="40"/>
            </w:pPr>
            <w:r>
              <w:rPr>
                <w:sz w:val="18"/>
              </w:rPr>
            </w:r>
            <w:r>
              <w:rPr>
                <w:b/>
                <w:i w:val="0"/>
                <w:sz w:val="18"/>
              </w:rPr>
              <w:t>The population</w:t>
            </w:r>
            <w:r>
              <w:rPr>
                <w:b w:val="0"/>
                <w:i w:val="0"/>
                <w:sz w:val="18"/>
              </w:rPr>
              <w:t xml:space="preserve"> — patient-centered</w:t>
            </w:r>
          </w:p>
        </w:tc>
      </w:tr>
      <w:tr>
        <w:tc>
          <w:tcPr>
            <w:tcW w:type="dxa" w:w="3408"/>
          </w:tcPr>
          <w:p>
            <w:pPr>
              <w:spacing w:after="40"/>
            </w:pPr>
            <w:r>
              <w:rPr>
                <w:sz w:val="18"/>
              </w:rPr>
            </w:r>
            <w:r>
              <w:rPr>
                <w:b w:val="0"/>
                <w:i w:val="0"/>
                <w:sz w:val="18"/>
              </w:rPr>
              <w:t>Negative predictive value</w:t>
            </w:r>
          </w:p>
        </w:tc>
        <w:tc>
          <w:tcPr>
            <w:tcW w:type="dxa" w:w="3408"/>
          </w:tcPr>
          <w:p>
            <w:pPr>
              <w:spacing w:after="40"/>
            </w:pPr>
            <w:r>
              <w:rPr>
                <w:sz w:val="18"/>
              </w:rPr>
            </w:r>
            <w:r>
              <w:rPr>
                <w:b w:val="0"/>
                <w:i w:val="0"/>
                <w:sz w:val="18"/>
              </w:rPr>
              <w:t>My patient’s test is negative — are they actually clear?</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022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022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Term</w:t>
            </w:r>
          </w:p>
        </w:tc>
        <w:tc>
          <w:tcPr>
            <w:tcW w:type="dxa" w:w="5112"/>
            <w:shd w:val="clear" w:color="auto" w:fill="69406C"/>
          </w:tcPr>
          <w:p>
            <w:pPr>
              <w:spacing w:after="40"/>
            </w:pPr>
            <w:r>
              <w:rPr>
                <w:b/>
                <w:color w:val="FFFFFF"/>
                <w:sz w:val="18"/>
              </w:rPr>
            </w:r>
            <w:r>
              <w:rPr>
                <w:b/>
                <w:i w:val="0"/>
                <w:color w:val="FFFFFF"/>
                <w:sz w:val="18"/>
              </w:rPr>
              <w:t>Meaning</w:t>
            </w:r>
          </w:p>
        </w:tc>
      </w:tr>
      <w:tr>
        <w:tc>
          <w:tcPr>
            <w:tcW w:type="dxa" w:w="5112"/>
          </w:tcPr>
          <w:p>
            <w:pPr>
              <w:spacing w:after="40"/>
            </w:pPr>
            <w:r>
              <w:rPr>
                <w:sz w:val="18"/>
              </w:rPr>
            </w:r>
            <w:r>
              <w:rPr>
                <w:b w:val="0"/>
                <w:i w:val="0"/>
                <w:sz w:val="18"/>
              </w:rPr>
              <w:t>Pre-test probability</w:t>
            </w:r>
          </w:p>
        </w:tc>
        <w:tc>
          <w:tcPr>
            <w:tcW w:type="dxa" w:w="511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5112"/>
          </w:tcPr>
          <w:p>
            <w:pPr>
              <w:spacing w:after="40"/>
            </w:pPr>
            <w:r>
              <w:rPr>
                <w:sz w:val="18"/>
              </w:rPr>
            </w:r>
            <w:r>
              <w:rPr>
                <w:b w:val="0"/>
                <w:i w:val="0"/>
                <w:sz w:val="18"/>
              </w:rPr>
              <w:t>Post-test probability</w:t>
            </w:r>
          </w:p>
        </w:tc>
        <w:tc>
          <w:tcPr>
            <w:tcW w:type="dxa" w:w="511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5112"/>
          </w:tcPr>
          <w:p>
            <w:pPr>
              <w:spacing w:after="40"/>
            </w:pPr>
            <w:r>
              <w:rPr>
                <w:sz w:val="18"/>
              </w:rPr>
            </w:r>
            <w:r>
              <w:rPr>
                <w:b w:val="0"/>
                <w:i w:val="0"/>
                <w:sz w:val="18"/>
              </w:rPr>
              <w:t>Prevalence</w:t>
            </w:r>
          </w:p>
        </w:tc>
        <w:tc>
          <w:tcPr>
            <w:tcW w:type="dxa" w:w="511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5112"/>
          </w:tcPr>
          <w:p>
            <w:pPr>
              <w:spacing w:after="40"/>
            </w:pPr>
            <w:r>
              <w:rPr>
                <w:sz w:val="18"/>
              </w:rPr>
            </w:r>
            <w:r>
              <w:rPr>
                <w:b w:val="0"/>
                <w:i w:val="0"/>
                <w:sz w:val="18"/>
              </w:rPr>
              <w:t>Incidence</w:t>
            </w:r>
          </w:p>
        </w:tc>
        <w:tc>
          <w:tcPr>
            <w:tcW w:type="dxa" w:w="511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0224"/>
      </w:tblGrid>
      <w:tr>
        <w:tc>
          <w:tcPr>
            <w:tcW w:type="dxa" w:w="1022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She said</w:t>
                  </w:r>
                </w:p>
              </w:tc>
              <w:tc>
                <w:tcPr>
                  <w:tcW w:type="dxa" w:w="5112"/>
                  <w:shd w:val="clear" w:color="auto" w:fill="69406C"/>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511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511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511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511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511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511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511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511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511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5112"/>
                </w:tcPr>
                <w:p>
                  <w:pPr>
                    <w:spacing w:after="40"/>
                  </w:pPr>
                  <w:r>
                    <w:rPr>
                      <w:sz w:val="18"/>
                    </w:rPr>
                  </w:r>
                  <w:r>
                    <w:rPr>
                      <w:b w:val="0"/>
                      <w:i/>
                      <w:sz w:val="18"/>
                    </w:rPr>
                    <w:t xml:space="preserve">“Contrast media… They are also radiation. The contrast media itself can also increase cancer risk. </w:t>
                  </w:r>
                  <w:r>
                    <w:rPr>
                      <w:b w:val="0"/>
                      <w:i/>
                      <w:sz w:val="18"/>
                      <w:highlight w:val="yellow"/>
                    </w:rPr>
                    <w:t>It’s all carcinogenic.</w:t>
                  </w:r>
                  <w:r>
                    <w:rPr>
                      <w:b w:val="0"/>
                      <w:i/>
                      <w:sz w:val="18"/>
                    </w:rPr>
                    <w:t>”</w:t>
                  </w:r>
                  <w:r>
                    <w:rPr>
                      <w:b w:val="0"/>
                      <w:i w:val="0"/>
                      <w:sz w:val="18"/>
                    </w:rPr>
                    <w:t xml:space="preserve"> [27:38]</w:t>
                  </w:r>
                </w:p>
              </w:tc>
              <w:tc>
                <w:tcPr>
                  <w:tcW w:type="dxa" w:w="5112"/>
                </w:tcPr>
                <w:p>
                  <w:pPr>
                    <w:spacing w:after="40"/>
                  </w:pPr>
                  <w:r>
                    <w:rPr>
                      <w:sz w:val="18"/>
                    </w:rPr>
                  </w:r>
                  <w:r>
                    <w:rPr>
                      <w:b w:val="0"/>
                      <w:i w:val="0"/>
                      <w:sz w:val="18"/>
                    </w:rPr>
                    <w:t>She stated the deck’s carcinogenicity point flatly and then tied it straight back to the diagnostic approach: “that’s why one of the questions… is, can we do this without contrast?”</w:t>
                  </w:r>
                </w:p>
              </w:tc>
            </w:tr>
            <w:tr>
              <w:tc>
                <w:tcPr>
                  <w:tcW w:type="dxa" w:w="511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511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oedema and increased blood flow to the area.</w:t>
                  </w:r>
                </w:p>
              </w:tc>
            </w:tr>
            <w:tr>
              <w:tc>
                <w:tcPr>
                  <w:tcW w:type="dxa" w:w="511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511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511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5112"/>
                </w:tcPr>
                <w:p>
                  <w:pPr>
                    <w:spacing w:after="40"/>
                  </w:pPr>
                  <w:r>
                    <w:rPr>
                      <w:sz w:val="18"/>
                    </w:rPr>
                  </w:r>
                  <w:r>
                    <w:rPr>
                      <w:b w:val="0"/>
                      <w:i w:val="0"/>
                      <w:sz w:val="18"/>
                    </w:rPr>
                    <w:t>Decubitus is not one position but a choice of side, made according to where the fluid should run.</w:t>
                  </w:r>
                </w:p>
              </w:tc>
            </w:tr>
            <w:tr>
              <w:tc>
                <w:tcPr>
                  <w:tcW w:type="dxa" w:w="511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5112"/>
                </w:tcPr>
                <w:p>
                  <w:pPr>
                    <w:spacing w:after="40"/>
                  </w:pPr>
                  <w:r>
                    <w:rPr>
                      <w:sz w:val="18"/>
                    </w:rPr>
                  </w:r>
                  <w:r>
                    <w:rPr>
                      <w:b w:val="0"/>
                      <w:i w:val="0"/>
                      <w:sz w:val="18"/>
                    </w:rPr>
                    <w:t xml:space="preserve">Her stated method for objective c. Memorised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The question</w:t>
            </w:r>
          </w:p>
        </w:tc>
        <w:tc>
          <w:tcPr>
            <w:tcW w:type="dxa" w:w="5112"/>
            <w:shd w:val="clear" w:color="auto" w:fill="69406C"/>
          </w:tcPr>
          <w:p>
            <w:pPr>
              <w:spacing w:after="40"/>
            </w:pPr>
            <w:r>
              <w:rPr>
                <w:b/>
                <w:color w:val="FFFFFF"/>
                <w:sz w:val="18"/>
              </w:rPr>
            </w:r>
            <w:r>
              <w:rPr>
                <w:b/>
                <w:i w:val="0"/>
                <w:color w:val="FFFFFF"/>
                <w:sz w:val="18"/>
              </w:rPr>
              <w:t>What it is really asking</w:t>
            </w:r>
          </w:p>
        </w:tc>
      </w:tr>
      <w:tr>
        <w:tc>
          <w:tcPr>
            <w:tcW w:type="dxa" w:w="5112"/>
          </w:tcPr>
          <w:p>
            <w:pPr>
              <w:spacing w:after="40"/>
            </w:pPr>
            <w:r>
              <w:rPr>
                <w:sz w:val="18"/>
              </w:rPr>
            </w:r>
            <w:r>
              <w:rPr>
                <w:b w:val="0"/>
                <w:i w:val="0"/>
                <w:sz w:val="18"/>
              </w:rPr>
              <w:t>Which modality is best for ruling the diagnosis in or out?</w:t>
            </w:r>
          </w:p>
        </w:tc>
        <w:tc>
          <w:tcPr>
            <w:tcW w:type="dxa" w:w="5112"/>
          </w:tcPr>
          <w:p>
            <w:pPr>
              <w:spacing w:after="40"/>
            </w:pPr>
            <w:r>
              <w:rPr>
                <w:sz w:val="18"/>
              </w:rPr>
            </w:r>
            <w:r>
              <w:rPr>
                <w:b w:val="0"/>
                <w:i w:val="0"/>
                <w:sz w:val="18"/>
              </w:rPr>
              <w:t>Match the study to the tissue and the question, not to habit.</w:t>
            </w:r>
          </w:p>
        </w:tc>
      </w:tr>
      <w:tr>
        <w:tc>
          <w:tcPr>
            <w:tcW w:type="dxa" w:w="5112"/>
          </w:tcPr>
          <w:p>
            <w:pPr>
              <w:spacing w:after="40"/>
            </w:pPr>
            <w:r>
              <w:rPr>
                <w:sz w:val="18"/>
              </w:rPr>
            </w:r>
            <w:r>
              <w:rPr>
                <w:b w:val="0"/>
                <w:i w:val="0"/>
                <w:sz w:val="18"/>
              </w:rPr>
              <w:t>Is there an alternative with less radiation?</w:t>
            </w:r>
          </w:p>
        </w:tc>
        <w:tc>
          <w:tcPr>
            <w:tcW w:type="dxa" w:w="5112"/>
          </w:tcPr>
          <w:p>
            <w:pPr>
              <w:spacing w:after="40"/>
            </w:pPr>
            <w:r>
              <w:rPr>
                <w:sz w:val="18"/>
              </w:rPr>
            </w:r>
            <w:r>
              <w:rPr>
                <w:b w:val="0"/>
                <w:i w:val="0"/>
                <w:sz w:val="18"/>
              </w:rPr>
              <w:t>Ultrasound and magnetic resonance use none at all.</w:t>
            </w:r>
          </w:p>
        </w:tc>
      </w:tr>
      <w:tr>
        <w:tc>
          <w:tcPr>
            <w:tcW w:type="dxa" w:w="5112"/>
          </w:tcPr>
          <w:p>
            <w:pPr>
              <w:spacing w:after="40"/>
            </w:pPr>
            <w:r>
              <w:rPr>
                <w:sz w:val="18"/>
              </w:rPr>
            </w:r>
            <w:r>
              <w:rPr>
                <w:b w:val="0"/>
                <w:i w:val="0"/>
                <w:sz w:val="18"/>
              </w:rPr>
              <w:t>Risk versus benefit, and patient-specific implications?</w:t>
            </w:r>
          </w:p>
        </w:tc>
        <w:tc>
          <w:tcPr>
            <w:tcW w:type="dxa" w:w="5112"/>
          </w:tcPr>
          <w:p>
            <w:pPr>
              <w:spacing w:after="40"/>
            </w:pPr>
            <w:r>
              <w:rPr>
                <w:sz w:val="18"/>
              </w:rPr>
            </w:r>
            <w:r>
              <w:rPr>
                <w:b w:val="0"/>
                <w:i w:val="0"/>
                <w:sz w:val="18"/>
              </w:rPr>
              <w:t>Pregnancy, age, renal function, implanted devices.</w:t>
            </w:r>
          </w:p>
        </w:tc>
      </w:tr>
      <w:tr>
        <w:tc>
          <w:tcPr>
            <w:tcW w:type="dxa" w:w="5112"/>
          </w:tcPr>
          <w:p>
            <w:pPr>
              <w:spacing w:after="40"/>
            </w:pPr>
            <w:r>
              <w:rPr>
                <w:sz w:val="18"/>
              </w:rPr>
            </w:r>
            <w:r>
              <w:rPr>
                <w:b w:val="0"/>
                <w:i w:val="0"/>
                <w:sz w:val="18"/>
              </w:rPr>
              <w:t>Does this need contrast, or can it be non-contrast?</w:t>
            </w:r>
          </w:p>
        </w:tc>
        <w:tc>
          <w:tcPr>
            <w:tcW w:type="dxa" w:w="511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9406C"/>
          </w:tcPr>
          <w:p>
            <w:pPr>
              <w:spacing w:after="40"/>
            </w:pPr>
            <w:r>
              <w:rPr>
                <w:b/>
                <w:color w:val="FFFFFF"/>
                <w:sz w:val="18"/>
              </w:rPr>
            </w:r>
            <w:r>
              <w:rPr>
                <w:b/>
                <w:i w:val="0"/>
                <w:color w:val="FFFFFF"/>
                <w:sz w:val="18"/>
              </w:rPr>
              <w:t>Modality</w:t>
            </w:r>
          </w:p>
        </w:tc>
        <w:tc>
          <w:tcPr>
            <w:tcW w:type="dxa" w:w="2556"/>
            <w:shd w:val="clear" w:color="auto" w:fill="69406C"/>
          </w:tcPr>
          <w:p>
            <w:pPr>
              <w:spacing w:after="40"/>
            </w:pPr>
            <w:r>
              <w:rPr>
                <w:b/>
                <w:color w:val="FFFFFF"/>
                <w:sz w:val="18"/>
              </w:rPr>
            </w:r>
            <w:r>
              <w:rPr>
                <w:b/>
                <w:i w:val="0"/>
                <w:color w:val="FFFFFF"/>
                <w:sz w:val="18"/>
              </w:rPr>
              <w:t>How the image is made</w:t>
            </w:r>
          </w:p>
        </w:tc>
        <w:tc>
          <w:tcPr>
            <w:tcW w:type="dxa" w:w="2556"/>
            <w:shd w:val="clear" w:color="auto" w:fill="69406C"/>
          </w:tcPr>
          <w:p>
            <w:pPr>
              <w:spacing w:after="40"/>
            </w:pPr>
            <w:r>
              <w:rPr>
                <w:b/>
                <w:color w:val="FFFFFF"/>
                <w:sz w:val="18"/>
              </w:rPr>
            </w:r>
            <w:r>
              <w:rPr>
                <w:b/>
                <w:i w:val="0"/>
                <w:color w:val="FFFFFF"/>
                <w:sz w:val="18"/>
              </w:rPr>
              <w:t>Advantages</w:t>
            </w:r>
          </w:p>
        </w:tc>
        <w:tc>
          <w:tcPr>
            <w:tcW w:type="dxa" w:w="2556"/>
            <w:shd w:val="clear" w:color="auto" w:fill="69406C"/>
          </w:tcPr>
          <w:p>
            <w:pPr>
              <w:spacing w:after="40"/>
            </w:pPr>
            <w:r>
              <w:rPr>
                <w:b/>
                <w:color w:val="FFFFFF"/>
                <w:sz w:val="18"/>
              </w:rPr>
            </w:r>
            <w:r>
              <w:rPr>
                <w:b/>
                <w:i w:val="0"/>
                <w:color w:val="FFFFFF"/>
                <w:sz w:val="18"/>
              </w:rPr>
              <w:t>Disadvantages</w:t>
            </w:r>
          </w:p>
        </w:tc>
      </w:tr>
      <w:tr>
        <w:tc>
          <w:tcPr>
            <w:tcW w:type="dxa" w:w="2556"/>
          </w:tcPr>
          <w:p>
            <w:pPr>
              <w:spacing w:after="40"/>
            </w:pPr>
            <w:r>
              <w:rPr>
                <w:sz w:val="18"/>
              </w:rPr>
            </w:r>
            <w:r>
              <w:rPr>
                <w:b/>
                <w:i w:val="0"/>
                <w:sz w:val="18"/>
              </w:rPr>
              <w:t>Radiography</w:t>
            </w:r>
          </w:p>
        </w:tc>
        <w:tc>
          <w:tcPr>
            <w:tcW w:type="dxa" w:w="2556"/>
          </w:tcPr>
          <w:p>
            <w:pPr>
              <w:spacing w:after="40"/>
            </w:pPr>
            <w:r>
              <w:rPr>
                <w:sz w:val="18"/>
              </w:rPr>
            </w:r>
            <w:r>
              <w:rPr>
                <w:b w:val="0"/>
                <w:i w:val="0"/>
                <w:sz w:val="18"/>
              </w:rPr>
              <w:t>Ionizing radiation through the body onto a detector, viewed in two dimensions</w:t>
            </w:r>
          </w:p>
        </w:tc>
        <w:tc>
          <w:tcPr>
            <w:tcW w:type="dxa" w:w="2556"/>
          </w:tcPr>
          <w:p>
            <w:pPr>
              <w:spacing w:after="40"/>
            </w:pPr>
            <w:r>
              <w:rPr>
                <w:sz w:val="18"/>
              </w:rPr>
            </w:r>
            <w:r>
              <w:rPr>
                <w:b w:val="0"/>
                <w:i w:val="0"/>
                <w:sz w:val="18"/>
              </w:rPr>
              <w:t>Quick, inexpensive, available anywhere, portable</w:t>
            </w:r>
          </w:p>
        </w:tc>
        <w:tc>
          <w:tcPr>
            <w:tcW w:type="dxa" w:w="2556"/>
          </w:tcPr>
          <w:p>
            <w:pPr>
              <w:spacing w:after="40"/>
            </w:pPr>
            <w:r>
              <w:rPr>
                <w:sz w:val="18"/>
              </w:rPr>
            </w:r>
            <w:r>
              <w:rPr>
                <w:b w:val="0"/>
                <w:i w:val="0"/>
                <w:sz w:val="18"/>
              </w:rPr>
              <w:t>Only five densities; ionizing radiation; structures overlap</w:t>
            </w:r>
          </w:p>
        </w:tc>
      </w:tr>
      <w:tr>
        <w:tc>
          <w:tcPr>
            <w:tcW w:type="dxa" w:w="2556"/>
          </w:tcPr>
          <w:p>
            <w:pPr>
              <w:spacing w:after="40"/>
            </w:pPr>
            <w:r>
              <w:rPr>
                <w:sz w:val="18"/>
              </w:rPr>
            </w:r>
            <w:r>
              <w:rPr>
                <w:b/>
                <w:i w:val="0"/>
                <w:sz w:val="18"/>
              </w:rPr>
              <w:t>Computed tomography</w:t>
            </w:r>
          </w:p>
        </w:tc>
        <w:tc>
          <w:tcPr>
            <w:tcW w:type="dxa" w:w="2556"/>
          </w:tcPr>
          <w:p>
            <w:pPr>
              <w:spacing w:after="40"/>
            </w:pPr>
            <w:r>
              <w:rPr>
                <w:sz w:val="18"/>
              </w:rPr>
            </w:r>
            <w:r>
              <w:rPr>
                <w:b w:val="0"/>
                <w:i w:val="0"/>
                <w:sz w:val="18"/>
              </w:rPr>
              <w:t>Powerful x-ray beams through a rotating fan beam, measuring transmission at thousands of points</w:t>
            </w:r>
          </w:p>
        </w:tc>
        <w:tc>
          <w:tcPr>
            <w:tcW w:type="dxa" w:w="2556"/>
          </w:tcPr>
          <w:p>
            <w:pPr>
              <w:spacing w:after="40"/>
            </w:pPr>
            <w:r>
              <w:rPr>
                <w:sz w:val="18"/>
              </w:rPr>
            </w:r>
            <w:r>
              <w:rPr>
                <w:b w:val="0"/>
                <w:i w:val="0"/>
                <w:sz w:val="18"/>
              </w:rPr>
              <w:t>Expands the grey scale beyond five densities, reduces overlap, works with implanted devices, three-dimensional reconstruction; the cornerstone of cross-sectional imaging</w:t>
            </w:r>
          </w:p>
        </w:tc>
        <w:tc>
          <w:tcPr>
            <w:tcW w:type="dxa" w:w="2556"/>
          </w:tcPr>
          <w:p>
            <w:pPr>
              <w:spacing w:after="40"/>
            </w:pPr>
            <w:r>
              <w:rPr>
                <w:sz w:val="18"/>
              </w:rPr>
            </w:r>
            <w:r>
              <w:rPr>
                <w:b w:val="0"/>
                <w:i w:val="0"/>
                <w:sz w:val="18"/>
              </w:rPr>
              <w:t>Not truly portable, a lot of ionizing radiation, needs space and heavy processing</w:t>
            </w:r>
          </w:p>
        </w:tc>
      </w:tr>
      <w:tr>
        <w:tc>
          <w:tcPr>
            <w:tcW w:type="dxa" w:w="2556"/>
          </w:tcPr>
          <w:p>
            <w:pPr>
              <w:spacing w:after="40"/>
            </w:pPr>
            <w:r>
              <w:rPr>
                <w:sz w:val="18"/>
              </w:rPr>
            </w:r>
            <w:r>
              <w:rPr>
                <w:b/>
                <w:i w:val="0"/>
                <w:sz w:val="18"/>
              </w:rPr>
              <w:t>Ultrasonography</w:t>
            </w:r>
          </w:p>
        </w:tc>
        <w:tc>
          <w:tcPr>
            <w:tcW w:type="dxa" w:w="2556"/>
          </w:tcPr>
          <w:p>
            <w:pPr>
              <w:spacing w:after="40"/>
            </w:pPr>
            <w:r>
              <w:rPr>
                <w:sz w:val="18"/>
              </w:rPr>
            </w:r>
            <w:r>
              <w:rPr>
                <w:b w:val="0"/>
                <w:i w:val="0"/>
                <w:sz w:val="18"/>
              </w:rPr>
              <w:t>High-frequency sound from a transducer, bounced off tissue and back to it</w:t>
            </w:r>
          </w:p>
        </w:tc>
        <w:tc>
          <w:tcPr>
            <w:tcW w:type="dxa" w:w="2556"/>
          </w:tcPr>
          <w:p>
            <w:pPr>
              <w:spacing w:after="40"/>
            </w:pPr>
            <w:r>
              <w:rPr>
                <w:sz w:val="18"/>
              </w:rPr>
            </w:r>
            <w:r>
              <w:rPr>
                <w:b w:val="0"/>
                <w:i w:val="0"/>
                <w:sz w:val="18"/>
              </w:rPr>
              <w:t>Inexpensive, portable, no radiation, real time, colour Doppler for flow direction and velocity</w:t>
            </w:r>
          </w:p>
        </w:tc>
        <w:tc>
          <w:tcPr>
            <w:tcW w:type="dxa" w:w="2556"/>
          </w:tcPr>
          <w:p>
            <w:pPr>
              <w:spacing w:after="40"/>
            </w:pPr>
            <w:r>
              <w:rPr>
                <w:sz w:val="18"/>
              </w:rPr>
            </w:r>
            <w:r>
              <w:rPr>
                <w:b w:val="0"/>
                <w:i w:val="0"/>
                <w:sz w:val="18"/>
              </w:rPr>
              <w:t>Cannot penetrate bone, gas disrupts the signal, deep structures are hard, operator-dependent</w:t>
            </w:r>
          </w:p>
        </w:tc>
      </w:tr>
      <w:tr>
        <w:tc>
          <w:tcPr>
            <w:tcW w:type="dxa" w:w="2556"/>
          </w:tcPr>
          <w:p>
            <w:pPr>
              <w:spacing w:after="40"/>
            </w:pPr>
            <w:r>
              <w:rPr>
                <w:sz w:val="18"/>
              </w:rPr>
            </w:r>
            <w:r>
              <w:rPr>
                <w:b/>
                <w:i w:val="0"/>
                <w:sz w:val="18"/>
              </w:rPr>
              <w:t>Magnetic resonance</w:t>
            </w:r>
          </w:p>
        </w:tc>
        <w:tc>
          <w:tcPr>
            <w:tcW w:type="dxa" w:w="2556"/>
          </w:tcPr>
          <w:p>
            <w:pPr>
              <w:spacing w:after="40"/>
            </w:pPr>
            <w:r>
              <w:rPr>
                <w:sz w:val="18"/>
              </w:rPr>
            </w:r>
            <w:r>
              <w:rPr>
                <w:b w:val="0"/>
                <w:i w:val="0"/>
                <w:sz w:val="18"/>
              </w:rPr>
              <w:t>A varying magnetic field aligns hydrogen; releasing it emits radio waves — essentially a hydrogen map</w:t>
            </w:r>
          </w:p>
        </w:tc>
        <w:tc>
          <w:tcPr>
            <w:tcW w:type="dxa" w:w="255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2556"/>
          </w:tcPr>
          <w:p>
            <w:pPr>
              <w:spacing w:after="40"/>
            </w:pPr>
            <w:r>
              <w:rPr>
                <w:sz w:val="18"/>
              </w:rPr>
            </w:r>
            <w:r>
              <w:rPr>
                <w:b w:val="0"/>
                <w:i w:val="0"/>
                <w:sz w:val="18"/>
              </w:rPr>
              <w:t>Not widely available, expensive, slow, magnetic implants and ferromagnetic projectiles</w:t>
            </w:r>
          </w:p>
        </w:tc>
      </w:tr>
      <w:tr>
        <w:tc>
          <w:tcPr>
            <w:tcW w:type="dxa" w:w="2556"/>
          </w:tcPr>
          <w:p>
            <w:pPr>
              <w:spacing w:after="40"/>
            </w:pPr>
            <w:r>
              <w:rPr>
                <w:sz w:val="18"/>
              </w:rPr>
            </w:r>
            <w:r>
              <w:rPr>
                <w:b/>
                <w:i w:val="0"/>
                <w:sz w:val="18"/>
              </w:rPr>
              <w:t>Positron emission tomography</w:t>
            </w:r>
          </w:p>
        </w:tc>
        <w:tc>
          <w:tcPr>
            <w:tcW w:type="dxa" w:w="2556"/>
          </w:tcPr>
          <w:p>
            <w:pPr>
              <w:spacing w:after="40"/>
            </w:pPr>
            <w:r>
              <w:rPr>
                <w:sz w:val="18"/>
              </w:rPr>
            </w:r>
            <w:r>
              <w:rPr>
                <w:b w:val="0"/>
                <w:i w:val="0"/>
                <w:sz w:val="18"/>
              </w:rPr>
              <w:t>Gamma camera reading an injected tracer, usually fluorodeoxyglucose-18; two-dimensional</w:t>
            </w:r>
          </w:p>
        </w:tc>
        <w:tc>
          <w:tcPr>
            <w:tcW w:type="dxa" w:w="2556"/>
          </w:tcPr>
          <w:p>
            <w:pPr>
              <w:spacing w:after="40"/>
            </w:pPr>
            <w:r>
              <w:rPr>
                <w:sz w:val="18"/>
              </w:rPr>
            </w:r>
            <w:r>
              <w:rPr>
                <w:b w:val="0"/>
                <w:i w:val="0"/>
                <w:sz w:val="18"/>
              </w:rPr>
              <w:t>Shows which tissues consume more glucose — cancer staging, brain disorders, cardiac blood flow</w:t>
            </w:r>
          </w:p>
        </w:tc>
        <w:tc>
          <w:tcPr>
            <w:tcW w:type="dxa" w:w="2556"/>
          </w:tcPr>
          <w:p>
            <w:pPr>
              <w:spacing w:after="40"/>
            </w:pPr>
            <w:r>
              <w:rPr>
                <w:sz w:val="18"/>
              </w:rPr>
            </w:r>
            <w:r>
              <w:rPr>
                <w:b w:val="0"/>
                <w:i w:val="0"/>
                <w:sz w:val="18"/>
              </w:rPr>
              <w:t>Among the highest-emitting devices in existence</w:t>
            </w:r>
          </w:p>
        </w:tc>
      </w:tr>
      <w:tr>
        <w:tc>
          <w:tcPr>
            <w:tcW w:type="dxa" w:w="2556"/>
          </w:tcPr>
          <w:p>
            <w:pPr>
              <w:spacing w:after="40"/>
            </w:pPr>
            <w:r>
              <w:rPr>
                <w:sz w:val="18"/>
              </w:rPr>
            </w:r>
            <w:r>
              <w:rPr>
                <w:b/>
                <w:i w:val="0"/>
                <w:sz w:val="18"/>
              </w:rPr>
              <w:t>Single photon emission tomography</w:t>
            </w:r>
          </w:p>
        </w:tc>
        <w:tc>
          <w:tcPr>
            <w:tcW w:type="dxa" w:w="2556"/>
          </w:tcPr>
          <w:p>
            <w:pPr>
              <w:spacing w:after="40"/>
            </w:pPr>
            <w:r>
              <w:rPr>
                <w:sz w:val="18"/>
              </w:rPr>
            </w:r>
            <w:r>
              <w:rPr>
                <w:b w:val="0"/>
                <w:i w:val="0"/>
                <w:sz w:val="18"/>
              </w:rPr>
              <w:t>Gamma cameras on a rotating gantry reading single photons; three-dimensional</w:t>
            </w:r>
          </w:p>
        </w:tc>
        <w:tc>
          <w:tcPr>
            <w:tcW w:type="dxa" w:w="2556"/>
          </w:tcPr>
          <w:p>
            <w:pPr>
              <w:spacing w:after="40"/>
            </w:pPr>
            <w:r>
              <w:rPr>
                <w:sz w:val="18"/>
              </w:rPr>
            </w:r>
            <w:r>
              <w:rPr>
                <w:b w:val="0"/>
                <w:i w:val="0"/>
                <w:sz w:val="18"/>
              </w:rPr>
              <w:t>Shows where blood flows — heart disease, bone scans, brain evaluation</w:t>
            </w:r>
          </w:p>
        </w:tc>
        <w:tc>
          <w:tcPr>
            <w:tcW w:type="dxa" w:w="2556"/>
          </w:tcPr>
          <w:p>
            <w:pPr>
              <w:spacing w:after="40"/>
            </w:pPr>
            <w:r>
              <w:rPr>
                <w:sz w:val="18"/>
              </w:rPr>
            </w:r>
            <w:r>
              <w:rPr>
                <w:b w:val="0"/>
                <w:i w:val="0"/>
                <w:sz w:val="18"/>
              </w:rPr>
              <w:t>Among the highest-emitting devices in existence</w:t>
            </w:r>
          </w:p>
        </w:tc>
      </w:tr>
      <w:tr>
        <w:tc>
          <w:tcPr>
            <w:tcW w:type="dxa" w:w="2556"/>
          </w:tcPr>
          <w:p>
            <w:pPr>
              <w:spacing w:after="40"/>
            </w:pPr>
            <w:r>
              <w:rPr>
                <w:sz w:val="18"/>
              </w:rPr>
            </w:r>
            <w:r>
              <w:rPr>
                <w:b/>
                <w:i w:val="0"/>
                <w:sz w:val="18"/>
              </w:rPr>
              <w:t>Angiographic studies</w:t>
            </w:r>
          </w:p>
        </w:tc>
        <w:tc>
          <w:tcPr>
            <w:tcW w:type="dxa" w:w="2556"/>
          </w:tcPr>
          <w:p>
            <w:pPr>
              <w:spacing w:after="40"/>
            </w:pPr>
            <w:r>
              <w:rPr>
                <w:sz w:val="18"/>
              </w:rPr>
            </w:r>
            <w:r>
              <w:rPr>
                <w:b w:val="0"/>
                <w:i w:val="0"/>
                <w:sz w:val="18"/>
              </w:rPr>
              <w:t>Not one test: x-ray angiogram, colour Doppler, computed tomography angiography, magnetic resonance angiography</w:t>
            </w:r>
          </w:p>
        </w:tc>
        <w:tc>
          <w:tcPr>
            <w:tcW w:type="dxa" w:w="2556"/>
          </w:tcPr>
          <w:p>
            <w:pPr>
              <w:spacing w:after="40"/>
            </w:pPr>
            <w:r>
              <w:rPr>
                <w:sz w:val="18"/>
              </w:rPr>
            </w:r>
            <w:r>
              <w:rPr>
                <w:b w:val="0"/>
                <w:i w:val="0"/>
                <w:sz w:val="18"/>
              </w:rPr>
              <w:t>Images vessels by whichever modality suits; magnetic resonance angiography and venography need no dye at all</w:t>
            </w:r>
          </w:p>
        </w:tc>
        <w:tc>
          <w:tcPr>
            <w:tcW w:type="dxa" w:w="2556"/>
          </w:tcPr>
          <w:p>
            <w:pPr>
              <w:spacing w:after="40"/>
            </w:pPr>
            <w:r>
              <w:rPr>
                <w:sz w:val="18"/>
              </w:rPr>
            </w:r>
            <w:r>
              <w:rPr>
                <w:b w:val="0"/>
                <w:i w:val="0"/>
                <w:sz w:val="18"/>
              </w:rPr>
              <w:t>Inherits the risks of whichever modality is used</w:t>
            </w:r>
          </w:p>
        </w:tc>
      </w:tr>
      <w:tr>
        <w:tc>
          <w:tcPr>
            <w:tcW w:type="dxa" w:w="2556"/>
          </w:tcPr>
          <w:p>
            <w:pPr>
              <w:spacing w:after="40"/>
            </w:pPr>
            <w:r>
              <w:rPr>
                <w:sz w:val="18"/>
              </w:rPr>
            </w:r>
            <w:r>
              <w:rPr>
                <w:b/>
                <w:i w:val="0"/>
                <w:sz w:val="18"/>
              </w:rPr>
              <w:t>Fluoroscopy</w:t>
            </w:r>
          </w:p>
        </w:tc>
        <w:tc>
          <w:tcPr>
            <w:tcW w:type="dxa" w:w="2556"/>
          </w:tcPr>
          <w:p>
            <w:pPr>
              <w:spacing w:after="40"/>
            </w:pPr>
            <w:r>
              <w:rPr>
                <w:sz w:val="18"/>
              </w:rPr>
            </w:r>
            <w:r>
              <w:rPr>
                <w:b w:val="0"/>
                <w:i w:val="0"/>
                <w:sz w:val="18"/>
              </w:rPr>
              <w:t>Ionizing radiation giving real-time video of the body</w:t>
            </w:r>
          </w:p>
        </w:tc>
        <w:tc>
          <w:tcPr>
            <w:tcW w:type="dxa" w:w="2556"/>
          </w:tcPr>
          <w:p>
            <w:pPr>
              <w:spacing w:after="40"/>
            </w:pPr>
            <w:r>
              <w:rPr>
                <w:sz w:val="18"/>
              </w:rPr>
            </w:r>
            <w:r>
              <w:rPr>
                <w:b w:val="0"/>
                <w:i w:val="0"/>
                <w:sz w:val="18"/>
              </w:rPr>
              <w:t>Evaluates motion and positioning; watches barium or iodine move through the gut, urinary tract and vessels</w:t>
            </w:r>
          </w:p>
        </w:tc>
        <w:tc>
          <w:tcPr>
            <w:tcW w:type="dxa" w:w="255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oedema,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oedema,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9406C"/>
          </w:tcPr>
          <w:p>
            <w:pPr>
              <w:spacing w:after="40"/>
            </w:pPr>
            <w:r>
              <w:rPr>
                <w:b/>
                <w:color w:val="FFFFFF"/>
                <w:sz w:val="18"/>
              </w:rPr>
            </w:r>
            <w:r>
              <w:rPr>
                <w:b/>
                <w:i w:val="0"/>
                <w:color w:val="FFFFFF"/>
                <w:sz w:val="18"/>
              </w:rPr>
              <w:t>What you want to see</w:t>
            </w:r>
          </w:p>
        </w:tc>
        <w:tc>
          <w:tcPr>
            <w:tcW w:type="dxa" w:w="5112"/>
            <w:shd w:val="clear" w:color="auto" w:fill="69406C"/>
          </w:tcPr>
          <w:p>
            <w:pPr>
              <w:spacing w:after="40"/>
            </w:pPr>
            <w:r>
              <w:rPr>
                <w:b/>
                <w:color w:val="FFFFFF"/>
                <w:sz w:val="18"/>
              </w:rPr>
            </w:r>
            <w:r>
              <w:rPr>
                <w:b/>
                <w:i w:val="0"/>
                <w:color w:val="FFFFFF"/>
                <w:sz w:val="18"/>
              </w:rPr>
              <w:t>What the deck says to use</w:t>
            </w:r>
          </w:p>
        </w:tc>
      </w:tr>
      <w:tr>
        <w:tc>
          <w:tcPr>
            <w:tcW w:type="dxa" w:w="5112"/>
          </w:tcPr>
          <w:p>
            <w:pPr>
              <w:spacing w:after="40"/>
            </w:pPr>
            <w:r>
              <w:rPr>
                <w:sz w:val="18"/>
              </w:rPr>
            </w:r>
            <w:r>
              <w:rPr>
                <w:b w:val="0"/>
                <w:i w:val="0"/>
                <w:sz w:val="18"/>
              </w:rPr>
              <w:t>Moving structures — heart, vasculature, obstetrics</w:t>
            </w:r>
          </w:p>
        </w:tc>
        <w:tc>
          <w:tcPr>
            <w:tcW w:type="dxa" w:w="5112"/>
          </w:tcPr>
          <w:p>
            <w:pPr>
              <w:spacing w:after="40"/>
            </w:pPr>
            <w:r>
              <w:rPr>
                <w:sz w:val="18"/>
              </w:rPr>
            </w:r>
            <w:r>
              <w:rPr>
                <w:b w:val="0"/>
                <w:i w:val="0"/>
                <w:sz w:val="18"/>
              </w:rPr>
              <w:t>Ultrasound, which records in real time</w:t>
            </w:r>
          </w:p>
        </w:tc>
      </w:tr>
      <w:tr>
        <w:tc>
          <w:tcPr>
            <w:tcW w:type="dxa" w:w="5112"/>
          </w:tcPr>
          <w:p>
            <w:pPr>
              <w:spacing w:after="40"/>
            </w:pPr>
            <w:r>
              <w:rPr>
                <w:sz w:val="18"/>
              </w:rPr>
            </w:r>
            <w:r>
              <w:rPr>
                <w:b w:val="0"/>
                <w:i w:val="0"/>
                <w:sz w:val="18"/>
              </w:rPr>
              <w:t>Female pelvis, and paediatric patients</w:t>
            </w:r>
          </w:p>
        </w:tc>
        <w:tc>
          <w:tcPr>
            <w:tcW w:type="dxa" w:w="5112"/>
          </w:tcPr>
          <w:p>
            <w:pPr>
              <w:spacing w:after="40"/>
            </w:pPr>
            <w:r>
              <w:rPr>
                <w:sz w:val="18"/>
              </w:rPr>
            </w:r>
            <w:r>
              <w:rPr>
                <w:b w:val="0"/>
                <w:i w:val="0"/>
                <w:sz w:val="18"/>
              </w:rPr>
              <w:t>Ultrasound, often the first study of choice; also for image-guided procedures</w:t>
            </w:r>
          </w:p>
        </w:tc>
      </w:tr>
      <w:tr>
        <w:tc>
          <w:tcPr>
            <w:tcW w:type="dxa" w:w="5112"/>
          </w:tcPr>
          <w:p>
            <w:pPr>
              <w:spacing w:after="40"/>
            </w:pPr>
            <w:r>
              <w:rPr>
                <w:sz w:val="18"/>
              </w:rPr>
            </w:r>
            <w:r>
              <w:rPr>
                <w:b w:val="0"/>
                <w:i w:val="0"/>
                <w:sz w:val="18"/>
              </w:rPr>
              <w:t>Soft tissue — essentially anything other than bone</w:t>
            </w:r>
          </w:p>
        </w:tc>
        <w:tc>
          <w:tcPr>
            <w:tcW w:type="dxa" w:w="5112"/>
          </w:tcPr>
          <w:p>
            <w:pPr>
              <w:spacing w:after="40"/>
            </w:pPr>
            <w:r>
              <w:rPr>
                <w:sz w:val="18"/>
              </w:rPr>
            </w:r>
            <w:r>
              <w:rPr>
                <w:b w:val="0"/>
                <w:i w:val="0"/>
                <w:sz w:val="18"/>
              </w:rPr>
              <w:t>Magnetic resonance, with extremely high anatomical detail</w:t>
            </w:r>
          </w:p>
        </w:tc>
      </w:tr>
      <w:tr>
        <w:tc>
          <w:tcPr>
            <w:tcW w:type="dxa" w:w="5112"/>
          </w:tcPr>
          <w:p>
            <w:pPr>
              <w:spacing w:after="40"/>
            </w:pPr>
            <w:r>
              <w:rPr>
                <w:sz w:val="18"/>
              </w:rPr>
            </w:r>
            <w:r>
              <w:rPr>
                <w:b w:val="0"/>
                <w:i w:val="0"/>
                <w:sz w:val="18"/>
              </w:rPr>
              <w:t>Brain, and the soft tissues of orthopaedics — muscle, ligament, tendon</w:t>
            </w:r>
          </w:p>
        </w:tc>
        <w:tc>
          <w:tcPr>
            <w:tcW w:type="dxa" w:w="5112"/>
          </w:tcPr>
          <w:p>
            <w:pPr>
              <w:spacing w:after="40"/>
            </w:pPr>
            <w:r>
              <w:rPr>
                <w:sz w:val="18"/>
              </w:rPr>
            </w:r>
            <w:r>
              <w:rPr>
                <w:b w:val="0"/>
                <w:i w:val="0"/>
                <w:sz w:val="18"/>
              </w:rPr>
              <w:t>Magnetic resonance; it is the cornerstone of neuroimaging</w:t>
            </w:r>
          </w:p>
        </w:tc>
      </w:tr>
      <w:tr>
        <w:tc>
          <w:tcPr>
            <w:tcW w:type="dxa" w:w="5112"/>
          </w:tcPr>
          <w:p>
            <w:pPr>
              <w:spacing w:after="40"/>
            </w:pPr>
            <w:r>
              <w:rPr>
                <w:sz w:val="18"/>
              </w:rPr>
            </w:r>
            <w:r>
              <w:rPr>
                <w:b w:val="0"/>
                <w:i w:val="0"/>
                <w:sz w:val="18"/>
              </w:rPr>
              <w:t>Tissue surrounded by bone</w:t>
            </w:r>
          </w:p>
        </w:tc>
        <w:tc>
          <w:tcPr>
            <w:tcW w:type="dxa" w:w="5112"/>
          </w:tcPr>
          <w:p>
            <w:pPr>
              <w:spacing w:after="40"/>
            </w:pPr>
            <w:r>
              <w:rPr>
                <w:sz w:val="18"/>
              </w:rPr>
            </w:r>
            <w:r>
              <w:rPr>
                <w:b w:val="0"/>
                <w:i w:val="0"/>
                <w:sz w:val="18"/>
              </w:rPr>
              <w:t>Magnetic resonance — calcium emits no signal, so the bone does not obscure it</w:t>
            </w:r>
          </w:p>
        </w:tc>
      </w:tr>
      <w:tr>
        <w:tc>
          <w:tcPr>
            <w:tcW w:type="dxa" w:w="5112"/>
          </w:tcPr>
          <w:p>
            <w:pPr>
              <w:spacing w:after="40"/>
            </w:pPr>
            <w:r>
              <w:rPr>
                <w:sz w:val="18"/>
              </w:rPr>
            </w:r>
            <w:r>
              <w:rPr>
                <w:b w:val="0"/>
                <w:i w:val="0"/>
                <w:sz w:val="18"/>
              </w:rPr>
              <w:t>Anything cross-sectional</w:t>
            </w:r>
          </w:p>
        </w:tc>
        <w:tc>
          <w:tcPr>
            <w:tcW w:type="dxa" w:w="5112"/>
          </w:tcPr>
          <w:p>
            <w:pPr>
              <w:spacing w:after="40"/>
            </w:pPr>
            <w:r>
              <w:rPr>
                <w:sz w:val="18"/>
              </w:rPr>
            </w:r>
            <w:r>
              <w:rPr>
                <w:b w:val="0"/>
                <w:i w:val="0"/>
                <w:sz w:val="18"/>
              </w:rPr>
              <w:t>Computed tomography, the foundation of cross-sectional imaging</w:t>
            </w:r>
          </w:p>
        </w:tc>
      </w:tr>
      <w:tr>
        <w:tc>
          <w:tcPr>
            <w:tcW w:type="dxa" w:w="5112"/>
          </w:tcPr>
          <w:p>
            <w:pPr>
              <w:spacing w:after="40"/>
            </w:pPr>
            <w:r>
              <w:rPr>
                <w:sz w:val="18"/>
              </w:rPr>
            </w:r>
            <w:r>
              <w:rPr>
                <w:b w:val="0"/>
                <w:i w:val="0"/>
                <w:sz w:val="18"/>
              </w:rPr>
              <w:t>Pleural effusion</w:t>
            </w:r>
          </w:p>
        </w:tc>
        <w:tc>
          <w:tcPr>
            <w:tcW w:type="dxa" w:w="511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5112"/>
          </w:tcPr>
          <w:p>
            <w:pPr>
              <w:spacing w:after="40"/>
            </w:pPr>
            <w:r>
              <w:rPr>
                <w:sz w:val="18"/>
              </w:rPr>
            </w:r>
            <w:r>
              <w:rPr>
                <w:b w:val="0"/>
                <w:i w:val="0"/>
                <w:sz w:val="18"/>
              </w:rPr>
              <w:t>Genitourinary tract</w:t>
            </w:r>
          </w:p>
        </w:tc>
        <w:tc>
          <w:tcPr>
            <w:tcW w:type="dxa" w:w="5112"/>
          </w:tcPr>
          <w:p>
            <w:pPr>
              <w:spacing w:after="40"/>
            </w:pPr>
            <w:r>
              <w:rPr>
                <w:sz w:val="18"/>
              </w:rPr>
            </w:r>
            <w:r>
              <w:rPr>
                <w:b w:val="0"/>
                <w:i w:val="0"/>
                <w:sz w:val="18"/>
              </w:rPr>
              <w:t>Kidney-ureter-bladder film — supine, anterior-posterior</w:t>
            </w:r>
          </w:p>
        </w:tc>
      </w:tr>
      <w:tr>
        <w:tc>
          <w:tcPr>
            <w:tcW w:type="dxa" w:w="5112"/>
          </w:tcPr>
          <w:p>
            <w:pPr>
              <w:spacing w:after="40"/>
            </w:pPr>
            <w:r>
              <w:rPr>
                <w:sz w:val="18"/>
              </w:rPr>
            </w:r>
            <w:r>
              <w:rPr>
                <w:b w:val="0"/>
                <w:i w:val="0"/>
                <w:sz w:val="18"/>
              </w:rPr>
              <w:t>Gastrointestinal tract, free air, air-fluid levels</w:t>
            </w:r>
          </w:p>
        </w:tc>
        <w:tc>
          <w:tcPr>
            <w:tcW w:type="dxa" w:w="5112"/>
          </w:tcPr>
          <w:p>
            <w:pPr>
              <w:spacing w:after="40"/>
            </w:pPr>
            <w:r>
              <w:rPr>
                <w:sz w:val="18"/>
              </w:rPr>
            </w:r>
            <w:r>
              <w:rPr>
                <w:b w:val="0"/>
                <w:i w:val="0"/>
                <w:sz w:val="18"/>
              </w:rPr>
              <w:t>Abdominal series — standing, anterior-posterior; for obstruction, perforation, volvulus</w:t>
            </w:r>
          </w:p>
        </w:tc>
      </w:tr>
      <w:tr>
        <w:tc>
          <w:tcPr>
            <w:tcW w:type="dxa" w:w="5112"/>
          </w:tcPr>
          <w:p>
            <w:pPr>
              <w:spacing w:after="40"/>
            </w:pPr>
            <w:r>
              <w:rPr>
                <w:sz w:val="18"/>
              </w:rPr>
            </w:r>
            <w:r>
              <w:rPr>
                <w:b w:val="0"/>
                <w:i w:val="0"/>
                <w:sz w:val="18"/>
              </w:rPr>
              <w:t>Which organs are consuming glucose</w:t>
            </w:r>
          </w:p>
        </w:tc>
        <w:tc>
          <w:tcPr>
            <w:tcW w:type="dxa" w:w="5112"/>
          </w:tcPr>
          <w:p>
            <w:pPr>
              <w:spacing w:after="40"/>
            </w:pPr>
            <w:r>
              <w:rPr>
                <w:sz w:val="18"/>
              </w:rPr>
            </w:r>
            <w:r>
              <w:rPr>
                <w:b w:val="0"/>
                <w:i w:val="0"/>
                <w:sz w:val="18"/>
              </w:rPr>
              <w:t>Positron emission tomography</w:t>
            </w:r>
          </w:p>
        </w:tc>
      </w:tr>
      <w:tr>
        <w:tc>
          <w:tcPr>
            <w:tcW w:type="dxa" w:w="5112"/>
          </w:tcPr>
          <w:p>
            <w:pPr>
              <w:spacing w:after="40"/>
            </w:pPr>
            <w:r>
              <w:rPr>
                <w:sz w:val="18"/>
              </w:rPr>
            </w:r>
            <w:r>
              <w:rPr>
                <w:b w:val="0"/>
                <w:i w:val="0"/>
                <w:sz w:val="18"/>
              </w:rPr>
              <w:t>Where blood is flowing</w:t>
            </w:r>
          </w:p>
        </w:tc>
        <w:tc>
          <w:tcPr>
            <w:tcW w:type="dxa" w:w="5112"/>
          </w:tcPr>
          <w:p>
            <w:pPr>
              <w:spacing w:after="40"/>
            </w:pPr>
            <w:r>
              <w:rPr>
                <w:sz w:val="18"/>
              </w:rPr>
            </w:r>
            <w:r>
              <w:rPr>
                <w:b w:val="0"/>
                <w:i w:val="0"/>
                <w:sz w:val="18"/>
              </w:rPr>
              <w:t>Single photon emission tomography, or colour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grey-scale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Term</w:t>
            </w:r>
          </w:p>
        </w:tc>
        <w:tc>
          <w:tcPr>
            <w:tcW w:type="dxa" w:w="3408"/>
            <w:shd w:val="clear" w:color="auto" w:fill="69406C"/>
          </w:tcPr>
          <w:p>
            <w:pPr>
              <w:spacing w:after="40"/>
            </w:pPr>
            <w:r>
              <w:rPr>
                <w:b/>
                <w:color w:val="FFFFFF"/>
                <w:sz w:val="18"/>
              </w:rPr>
            </w:r>
            <w:r>
              <w:rPr>
                <w:b/>
                <w:i w:val="0"/>
                <w:color w:val="FFFFFF"/>
                <w:sz w:val="18"/>
              </w:rPr>
              <w:t>On computed tomography</w:t>
            </w:r>
          </w:p>
        </w:tc>
        <w:tc>
          <w:tcPr>
            <w:tcW w:type="dxa" w:w="3408"/>
            <w:shd w:val="clear" w:color="auto" w:fill="69406C"/>
          </w:tcPr>
          <w:p>
            <w:pPr>
              <w:spacing w:after="40"/>
            </w:pPr>
            <w:r>
              <w:rPr>
                <w:b/>
                <w:color w:val="FFFFFF"/>
                <w:sz w:val="18"/>
              </w:rPr>
            </w:r>
            <w:r>
              <w:rPr>
                <w:b/>
                <w:i w:val="0"/>
                <w:color w:val="FFFFFF"/>
                <w:sz w:val="18"/>
              </w:rPr>
              <w:t>The same substance on a plain film</w:t>
            </w:r>
          </w:p>
        </w:tc>
      </w:tr>
      <w:tr>
        <w:tc>
          <w:tcPr>
            <w:tcW w:type="dxa" w:w="3408"/>
          </w:tcPr>
          <w:p>
            <w:pPr>
              <w:spacing w:after="40"/>
            </w:pPr>
            <w:r>
              <w:rPr>
                <w:sz w:val="18"/>
              </w:rPr>
            </w:r>
            <w:r>
              <w:rPr>
                <w:b/>
                <w:i w:val="0"/>
                <w:sz w:val="18"/>
              </w:rPr>
              <w:t>Increased attenuation</w:t>
            </w:r>
          </w:p>
        </w:tc>
        <w:tc>
          <w:tcPr>
            <w:tcW w:type="dxa" w:w="3408"/>
          </w:tcPr>
          <w:p>
            <w:pPr>
              <w:spacing w:after="40"/>
            </w:pPr>
            <w:r>
              <w:rPr>
                <w:sz w:val="18"/>
              </w:rPr>
            </w:r>
            <w:r>
              <w:rPr>
                <w:b w:val="0"/>
                <w:i w:val="0"/>
                <w:sz w:val="18"/>
              </w:rPr>
              <w:t>High Hounsfield number, appears whiter — metal, calcium</w:t>
            </w:r>
          </w:p>
        </w:tc>
        <w:tc>
          <w:tcPr>
            <w:tcW w:type="dxa" w:w="3408"/>
          </w:tcPr>
          <w:p>
            <w:pPr>
              <w:spacing w:after="40"/>
            </w:pPr>
            <w:r>
              <w:rPr>
                <w:sz w:val="18"/>
              </w:rPr>
            </w:r>
            <w:r>
              <w:rPr>
                <w:b w:val="0"/>
                <w:i w:val="0"/>
                <w:sz w:val="18"/>
              </w:rPr>
              <w:t>Increased density; more opaque, radiopaque</w:t>
            </w:r>
          </w:p>
        </w:tc>
      </w:tr>
      <w:tr>
        <w:tc>
          <w:tcPr>
            <w:tcW w:type="dxa" w:w="3408"/>
          </w:tcPr>
          <w:p>
            <w:pPr>
              <w:spacing w:after="40"/>
            </w:pPr>
            <w:r>
              <w:rPr>
                <w:sz w:val="18"/>
              </w:rPr>
            </w:r>
            <w:r>
              <w:rPr>
                <w:b/>
                <w:i w:val="0"/>
                <w:sz w:val="18"/>
              </w:rPr>
              <w:t>Decreased attenuation</w:t>
            </w:r>
          </w:p>
        </w:tc>
        <w:tc>
          <w:tcPr>
            <w:tcW w:type="dxa" w:w="3408"/>
          </w:tcPr>
          <w:p>
            <w:pPr>
              <w:spacing w:after="40"/>
            </w:pPr>
            <w:r>
              <w:rPr>
                <w:sz w:val="18"/>
              </w:rPr>
            </w:r>
            <w:r>
              <w:rPr>
                <w:b w:val="0"/>
                <w:i w:val="0"/>
                <w:sz w:val="18"/>
              </w:rPr>
              <w:t>Low Hounsfield number, appears blacker — air, fat</w:t>
            </w:r>
          </w:p>
        </w:tc>
        <w:tc>
          <w:tcPr>
            <w:tcW w:type="dxa" w:w="340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grey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9406C"/>
          </w:tcPr>
          <w:p>
            <w:pPr>
              <w:spacing w:after="40"/>
            </w:pPr>
            <w:r>
              <w:rPr>
                <w:b/>
                <w:color w:val="FFFFFF"/>
                <w:sz w:val="18"/>
              </w:rPr>
            </w:r>
            <w:r>
              <w:rPr>
                <w:b/>
                <w:i w:val="0"/>
                <w:color w:val="FFFFFF"/>
                <w:sz w:val="18"/>
              </w:rPr>
              <w:t>Position</w:t>
            </w:r>
          </w:p>
        </w:tc>
        <w:tc>
          <w:tcPr>
            <w:tcW w:type="dxa" w:w="3408"/>
            <w:shd w:val="clear" w:color="auto" w:fill="69406C"/>
          </w:tcPr>
          <w:p>
            <w:pPr>
              <w:spacing w:after="40"/>
            </w:pPr>
            <w:r>
              <w:rPr>
                <w:b/>
                <w:color w:val="FFFFFF"/>
                <w:sz w:val="18"/>
              </w:rPr>
            </w:r>
            <w:r>
              <w:rPr>
                <w:b/>
                <w:i w:val="0"/>
                <w:color w:val="FFFFFF"/>
                <w:sz w:val="18"/>
              </w:rPr>
              <w:t>How</w:t>
            </w:r>
          </w:p>
        </w:tc>
        <w:tc>
          <w:tcPr>
            <w:tcW w:type="dxa" w:w="3408"/>
            <w:shd w:val="clear" w:color="auto" w:fill="69406C"/>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Posterior-anterior</w:t>
            </w:r>
          </w:p>
        </w:tc>
        <w:tc>
          <w:tcPr>
            <w:tcW w:type="dxa" w:w="3408"/>
          </w:tcPr>
          <w:p>
            <w:pPr>
              <w:spacing w:after="40"/>
            </w:pPr>
            <w:r>
              <w:rPr>
                <w:sz w:val="18"/>
              </w:rPr>
            </w:r>
            <w:r>
              <w:rPr>
                <w:b w:val="0"/>
                <w:i w:val="0"/>
                <w:sz w:val="18"/>
              </w:rPr>
              <w:t>Standing, beam from behind; usually combined with a lateral</w:t>
            </w:r>
          </w:p>
        </w:tc>
        <w:tc>
          <w:tcPr>
            <w:tcW w:type="dxa" w:w="3408"/>
          </w:tcPr>
          <w:p>
            <w:pPr>
              <w:spacing w:after="40"/>
            </w:pPr>
            <w:r>
              <w:rPr>
                <w:sz w:val="18"/>
              </w:rPr>
            </w:r>
            <w:r>
              <w:rPr>
                <w:b w:val="0"/>
                <w:i w:val="0"/>
                <w:sz w:val="18"/>
              </w:rPr>
              <w:t>The standard chest film</w:t>
            </w:r>
          </w:p>
        </w:tc>
      </w:tr>
      <w:tr>
        <w:tc>
          <w:tcPr>
            <w:tcW w:type="dxa" w:w="3408"/>
          </w:tcPr>
          <w:p>
            <w:pPr>
              <w:spacing w:after="40"/>
            </w:pPr>
            <w:r>
              <w:rPr>
                <w:sz w:val="18"/>
              </w:rPr>
            </w:r>
            <w:r>
              <w:rPr>
                <w:b w:val="0"/>
                <w:i w:val="0"/>
                <w:sz w:val="18"/>
              </w:rPr>
              <w:t>Lateral</w:t>
            </w:r>
          </w:p>
        </w:tc>
        <w:tc>
          <w:tcPr>
            <w:tcW w:type="dxa" w:w="3408"/>
          </w:tcPr>
          <w:p>
            <w:pPr>
              <w:spacing w:after="40"/>
            </w:pPr>
            <w:r>
              <w:rPr>
                <w:sz w:val="18"/>
              </w:rPr>
            </w:r>
            <w:r>
              <w:rPr>
                <w:b w:val="0"/>
                <w:i w:val="0"/>
                <w:sz w:val="18"/>
              </w:rPr>
              <w:t>Side-on; the patient faces to the left on the view</w:t>
            </w:r>
          </w:p>
        </w:tc>
        <w:tc>
          <w:tcPr>
            <w:tcW w:type="dxa" w:w="3408"/>
          </w:tcPr>
          <w:p>
            <w:pPr>
              <w:spacing w:after="40"/>
            </w:pPr>
            <w:r>
              <w:rPr>
                <w:sz w:val="18"/>
              </w:rPr>
            </w:r>
            <w:r>
              <w:rPr>
                <w:b w:val="0"/>
                <w:i w:val="0"/>
                <w:sz w:val="18"/>
              </w:rPr>
              <w:t>Read together with the posterior-anterior film</w:t>
            </w:r>
          </w:p>
        </w:tc>
      </w:tr>
      <w:tr>
        <w:tc>
          <w:tcPr>
            <w:tcW w:type="dxa" w:w="3408"/>
          </w:tcPr>
          <w:p>
            <w:pPr>
              <w:spacing w:after="40"/>
            </w:pPr>
            <w:r>
              <w:rPr>
                <w:sz w:val="18"/>
              </w:rPr>
            </w:r>
            <w:r>
              <w:rPr>
                <w:b w:val="0"/>
                <w:i w:val="0"/>
                <w:sz w:val="18"/>
              </w:rPr>
              <w:t>Lateral decubitus</w:t>
            </w:r>
          </w:p>
        </w:tc>
        <w:tc>
          <w:tcPr>
            <w:tcW w:type="dxa" w:w="3408"/>
          </w:tcPr>
          <w:p>
            <w:pPr>
              <w:spacing w:after="40"/>
            </w:pPr>
            <w:r>
              <w:rPr>
                <w:sz w:val="18"/>
              </w:rPr>
            </w:r>
            <w:r>
              <w:rPr>
                <w:b w:val="0"/>
                <w:i w:val="0"/>
                <w:sz w:val="18"/>
              </w:rPr>
              <w:t>Lying on one side</w:t>
            </w:r>
          </w:p>
        </w:tc>
        <w:tc>
          <w:tcPr>
            <w:tcW w:type="dxa" w:w="3408"/>
          </w:tcPr>
          <w:p>
            <w:pPr>
              <w:spacing w:after="40"/>
            </w:pPr>
            <w:r>
              <w:rPr>
                <w:sz w:val="18"/>
              </w:rPr>
            </w:r>
            <w:r>
              <w:rPr>
                <w:b w:val="0"/>
                <w:i w:val="0"/>
                <w:sz w:val="18"/>
              </w:rPr>
              <w:t>Pleural effusion — the fluid levels out with gravity</w:t>
            </w:r>
          </w:p>
        </w:tc>
      </w:tr>
      <w:tr>
        <w:tc>
          <w:tcPr>
            <w:tcW w:type="dxa" w:w="3408"/>
          </w:tcPr>
          <w:p>
            <w:pPr>
              <w:spacing w:after="40"/>
            </w:pPr>
            <w:r>
              <w:rPr>
                <w:sz w:val="18"/>
              </w:rPr>
            </w:r>
            <w:r>
              <w:rPr>
                <w:b w:val="0"/>
                <w:i w:val="0"/>
                <w:sz w:val="18"/>
              </w:rPr>
              <w:t>Anterior-posterior</w:t>
            </w:r>
          </w:p>
        </w:tc>
        <w:tc>
          <w:tcPr>
            <w:tcW w:type="dxa" w:w="3408"/>
          </w:tcPr>
          <w:p>
            <w:pPr>
              <w:spacing w:after="40"/>
            </w:pPr>
            <w:r>
              <w:rPr>
                <w:sz w:val="18"/>
              </w:rPr>
            </w:r>
            <w:r>
              <w:rPr>
                <w:b w:val="0"/>
                <w:i w:val="0"/>
                <w:sz w:val="18"/>
              </w:rPr>
              <w:t>Beam from the front</w:t>
            </w:r>
          </w:p>
        </w:tc>
        <w:tc>
          <w:tcPr>
            <w:tcW w:type="dxa" w:w="3408"/>
          </w:tcPr>
          <w:p>
            <w:pPr>
              <w:spacing w:after="40"/>
            </w:pPr>
            <w:r>
              <w:rPr>
                <w:sz w:val="18"/>
              </w:rPr>
            </w:r>
            <w:r>
              <w:rPr>
                <w:b w:val="0"/>
                <w:i w:val="0"/>
                <w:sz w:val="18"/>
              </w:rPr>
              <w:t>Used when a patient cannot stand for a posterior-anterior film</w:t>
            </w:r>
          </w:p>
        </w:tc>
      </w:tr>
      <w:tr>
        <w:tc>
          <w:tcPr>
            <w:tcW w:type="dxa" w:w="3408"/>
          </w:tcPr>
          <w:p>
            <w:pPr>
              <w:spacing w:after="40"/>
            </w:pPr>
            <w:r>
              <w:rPr>
                <w:sz w:val="18"/>
              </w:rPr>
            </w:r>
            <w:r>
              <w:rPr>
                <w:b w:val="0"/>
                <w:i w:val="0"/>
                <w:sz w:val="18"/>
              </w:rPr>
              <w:t>Kidney-ureter-bladder</w:t>
            </w:r>
          </w:p>
        </w:tc>
        <w:tc>
          <w:tcPr>
            <w:tcW w:type="dxa" w:w="3408"/>
          </w:tcPr>
          <w:p>
            <w:pPr>
              <w:spacing w:after="40"/>
            </w:pPr>
            <w:r>
              <w:rPr>
                <w:sz w:val="18"/>
              </w:rPr>
            </w:r>
            <w:r>
              <w:rPr>
                <w:b w:val="0"/>
                <w:i w:val="0"/>
                <w:sz w:val="18"/>
              </w:rPr>
              <w:t>Supine, anterior-posterior</w:t>
            </w:r>
          </w:p>
        </w:tc>
        <w:tc>
          <w:tcPr>
            <w:tcW w:type="dxa" w:w="3408"/>
          </w:tcPr>
          <w:p>
            <w:pPr>
              <w:spacing w:after="40"/>
            </w:pPr>
            <w:r>
              <w:rPr>
                <w:sz w:val="18"/>
              </w:rPr>
            </w:r>
            <w:r>
              <w:rPr>
                <w:b w:val="0"/>
                <w:i w:val="0"/>
                <w:sz w:val="18"/>
              </w:rPr>
              <w:t>Genitourinary tract</w:t>
            </w:r>
          </w:p>
        </w:tc>
      </w:tr>
      <w:tr>
        <w:tc>
          <w:tcPr>
            <w:tcW w:type="dxa" w:w="3408"/>
          </w:tcPr>
          <w:p>
            <w:pPr>
              <w:spacing w:after="40"/>
            </w:pPr>
            <w:r>
              <w:rPr>
                <w:sz w:val="18"/>
              </w:rPr>
            </w:r>
            <w:r>
              <w:rPr>
                <w:b w:val="0"/>
                <w:i w:val="0"/>
                <w:sz w:val="18"/>
              </w:rPr>
              <w:t>Abdominal series</w:t>
            </w:r>
          </w:p>
        </w:tc>
        <w:tc>
          <w:tcPr>
            <w:tcW w:type="dxa" w:w="3408"/>
          </w:tcPr>
          <w:p>
            <w:pPr>
              <w:spacing w:after="40"/>
            </w:pPr>
            <w:r>
              <w:rPr>
                <w:sz w:val="18"/>
              </w:rPr>
            </w:r>
            <w:r>
              <w:rPr>
                <w:b w:val="0"/>
                <w:i w:val="0"/>
                <w:sz w:val="18"/>
              </w:rPr>
              <w:t>Standing, anterior-posterior</w:t>
            </w:r>
          </w:p>
        </w:tc>
        <w:tc>
          <w:tcPr>
            <w:tcW w:type="dxa" w:w="340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memorising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characterise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Because the dyes are technically radioactive, the deck names </w:t>
      </w:r>
      <w:r>
        <w:rPr>
          <w:b/>
          <w:i w:val="0"/>
        </w:rPr>
        <w:t>cancer as a risk factor for all contrast material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9406C"/>
          </w:tcPr>
          <w:p>
            <w:pPr>
              <w:spacing w:after="40"/>
            </w:pPr>
            <w:r>
              <w:rPr>
                <w:b/>
                <w:color w:val="FFFFFF"/>
                <w:sz w:val="18"/>
              </w:rPr>
            </w:r>
            <w:r>
              <w:rPr>
                <w:b/>
                <w:i w:val="0"/>
                <w:color w:val="FFFFFF"/>
                <w:sz w:val="18"/>
              </w:rPr>
              <w:t>Study</w:t>
            </w:r>
          </w:p>
        </w:tc>
        <w:tc>
          <w:tcPr>
            <w:tcW w:type="dxa" w:w="2556"/>
            <w:shd w:val="clear" w:color="auto" w:fill="69406C"/>
          </w:tcPr>
          <w:p>
            <w:pPr>
              <w:spacing w:after="40"/>
            </w:pPr>
            <w:r>
              <w:rPr>
                <w:b/>
                <w:color w:val="FFFFFF"/>
                <w:sz w:val="18"/>
              </w:rPr>
            </w:r>
            <w:r>
              <w:rPr>
                <w:b/>
                <w:i w:val="0"/>
                <w:color w:val="FFFFFF"/>
                <w:sz w:val="18"/>
              </w:rPr>
              <w:t>Agent</w:t>
            </w:r>
          </w:p>
        </w:tc>
        <w:tc>
          <w:tcPr>
            <w:tcW w:type="dxa" w:w="2556"/>
            <w:shd w:val="clear" w:color="auto" w:fill="69406C"/>
          </w:tcPr>
          <w:p>
            <w:pPr>
              <w:spacing w:after="40"/>
            </w:pPr>
            <w:r>
              <w:rPr>
                <w:b/>
                <w:color w:val="FFFFFF"/>
                <w:sz w:val="18"/>
              </w:rPr>
            </w:r>
            <w:r>
              <w:rPr>
                <w:b/>
                <w:i w:val="0"/>
                <w:color w:val="FFFFFF"/>
                <w:sz w:val="18"/>
              </w:rPr>
              <w:t>Before you give it</w:t>
            </w:r>
          </w:p>
        </w:tc>
        <w:tc>
          <w:tcPr>
            <w:tcW w:type="dxa" w:w="2556"/>
            <w:shd w:val="clear" w:color="auto" w:fill="69406C"/>
          </w:tcPr>
          <w:p>
            <w:pPr>
              <w:spacing w:after="40"/>
            </w:pPr>
            <w:r>
              <w:rPr>
                <w:b/>
                <w:color w:val="FFFFFF"/>
                <w:sz w:val="18"/>
              </w:rPr>
            </w:r>
            <w:r>
              <w:rPr>
                <w:b/>
                <w:i w:val="0"/>
                <w:color w:val="FFFFFF"/>
                <w:sz w:val="18"/>
              </w:rPr>
              <w:t>Watch for</w:t>
            </w:r>
          </w:p>
        </w:tc>
      </w:tr>
      <w:tr>
        <w:tc>
          <w:tcPr>
            <w:tcW w:type="dxa" w:w="2556"/>
          </w:tcPr>
          <w:p>
            <w:pPr>
              <w:spacing w:after="40"/>
            </w:pPr>
            <w:r>
              <w:rPr>
                <w:sz w:val="18"/>
              </w:rPr>
            </w:r>
            <w:r>
              <w:rPr>
                <w:b w:val="0"/>
                <w:i w:val="0"/>
                <w:sz w:val="18"/>
              </w:rPr>
              <w:t>Computed tomography, intravenous</w:t>
            </w:r>
          </w:p>
        </w:tc>
        <w:tc>
          <w:tcPr>
            <w:tcW w:type="dxa" w:w="2556"/>
          </w:tcPr>
          <w:p>
            <w:pPr>
              <w:spacing w:after="40"/>
            </w:pPr>
            <w:r>
              <w:rPr>
                <w:sz w:val="18"/>
              </w:rPr>
            </w:r>
            <w:r>
              <w:rPr>
                <w:b w:val="0"/>
                <w:i w:val="0"/>
                <w:sz w:val="18"/>
              </w:rPr>
              <w:t>Omnipaque (iohexol) — a radioactive form of iodine</w:t>
            </w:r>
          </w:p>
        </w:tc>
        <w:tc>
          <w:tcPr>
            <w:tcW w:type="dxa" w:w="2556"/>
          </w:tcPr>
          <w:p>
            <w:pPr>
              <w:spacing w:after="40"/>
            </w:pPr>
            <w:r>
              <w:rPr>
                <w:sz w:val="18"/>
              </w:rPr>
            </w:r>
            <w:r>
              <w:rPr>
                <w:b/>
                <w:i w:val="0"/>
                <w:sz w:val="18"/>
              </w:rPr>
              <w:t>Check blood urea nitrogen and creatinine</w:t>
            </w:r>
            <w:r>
              <w:rPr>
                <w:b w:val="0"/>
                <w:i w:val="0"/>
                <w:sz w:val="18"/>
              </w:rPr>
              <w:t>; give one litre of normal saline to protect the kidneys</w:t>
            </w:r>
          </w:p>
        </w:tc>
        <w:tc>
          <w:tcPr>
            <w:tcW w:type="dxa" w:w="2556"/>
          </w:tcPr>
          <w:p>
            <w:pPr>
              <w:spacing w:after="40"/>
            </w:pPr>
            <w:r>
              <w:rPr>
                <w:sz w:val="18"/>
              </w:rPr>
            </w:r>
            <w:r>
              <w:rPr>
                <w:b w:val="0"/>
                <w:i w:val="0"/>
                <w:sz w:val="18"/>
              </w:rPr>
              <w:t>Nephrotoxicity. Indicated for inflammation, cancer staging, tumour delineation, vasculopathy, emboli, thrombi, stenosis, aneurysm</w:t>
            </w:r>
          </w:p>
        </w:tc>
      </w:tr>
      <w:tr>
        <w:tc>
          <w:tcPr>
            <w:tcW w:type="dxa" w:w="2556"/>
          </w:tcPr>
          <w:p>
            <w:pPr>
              <w:spacing w:after="40"/>
            </w:pPr>
            <w:r>
              <w:rPr>
                <w:sz w:val="18"/>
              </w:rPr>
            </w:r>
            <w:r>
              <w:rPr>
                <w:b w:val="0"/>
                <w:i w:val="0"/>
                <w:sz w:val="18"/>
              </w:rPr>
              <w:t>Angiography</w:t>
            </w:r>
          </w:p>
        </w:tc>
        <w:tc>
          <w:tcPr>
            <w:tcW w:type="dxa" w:w="2556"/>
          </w:tcPr>
          <w:p>
            <w:pPr>
              <w:spacing w:after="40"/>
            </w:pPr>
            <w:r>
              <w:rPr>
                <w:sz w:val="18"/>
              </w:rPr>
            </w:r>
            <w:r>
              <w:rPr>
                <w:b w:val="0"/>
                <w:i w:val="0"/>
                <w:sz w:val="18"/>
              </w:rPr>
              <w:t>Iohexol arterially, lower concentration than for intravenous computed tomography; iso-osmolal iodixanol (Visipaque) believed safer</w:t>
            </w:r>
          </w:p>
        </w:tc>
        <w:tc>
          <w:tcPr>
            <w:tcW w:type="dxa" w:w="2556"/>
          </w:tcPr>
          <w:p>
            <w:pPr>
              <w:spacing w:after="40"/>
            </w:pPr>
            <w:r>
              <w:rPr>
                <w:sz w:val="18"/>
              </w:rPr>
            </w:r>
            <w:r>
              <w:rPr>
                <w:b w:val="0"/>
                <w:i w:val="0"/>
                <w:sz w:val="18"/>
              </w:rPr>
              <w:t>Same renal checks</w:t>
            </w:r>
          </w:p>
        </w:tc>
        <w:tc>
          <w:tcPr>
            <w:tcW w:type="dxa" w:w="2556"/>
          </w:tcPr>
          <w:p>
            <w:pPr>
              <w:spacing w:after="40"/>
            </w:pPr>
            <w:r>
              <w:rPr>
                <w:sz w:val="18"/>
              </w:rPr>
            </w:r>
            <w:r>
              <w:rPr>
                <w:b w:val="0"/>
                <w:i w:val="0"/>
                <w:sz w:val="18"/>
              </w:rPr>
              <w:t>Same iodinated risks</w:t>
            </w:r>
          </w:p>
        </w:tc>
      </w:tr>
      <w:tr>
        <w:tc>
          <w:tcPr>
            <w:tcW w:type="dxa" w:w="2556"/>
          </w:tcPr>
          <w:p>
            <w:pPr>
              <w:spacing w:after="40"/>
            </w:pPr>
            <w:r>
              <w:rPr>
                <w:sz w:val="18"/>
              </w:rPr>
            </w:r>
            <w:r>
              <w:rPr>
                <w:b w:val="0"/>
                <w:i w:val="0"/>
                <w:sz w:val="18"/>
              </w:rPr>
              <w:t>Computed tomography, oral</w:t>
            </w:r>
          </w:p>
        </w:tc>
        <w:tc>
          <w:tcPr>
            <w:tcW w:type="dxa" w:w="2556"/>
          </w:tcPr>
          <w:p>
            <w:pPr>
              <w:spacing w:after="40"/>
            </w:pPr>
            <w:r>
              <w:rPr>
                <w:sz w:val="18"/>
              </w:rPr>
            </w:r>
            <w:r>
              <w:rPr>
                <w:b w:val="0"/>
                <w:i w:val="0"/>
                <w:sz w:val="18"/>
              </w:rPr>
              <w:t>Barium, or Gastrografin</w:t>
            </w:r>
          </w:p>
        </w:tc>
        <w:tc>
          <w:tcPr>
            <w:tcW w:type="dxa" w:w="255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2556"/>
          </w:tcPr>
          <w:p>
            <w:pPr>
              <w:spacing w:after="40"/>
            </w:pPr>
            <w:r>
              <w:rPr>
                <w:sz w:val="18"/>
              </w:rPr>
            </w:r>
            <w:r>
              <w:rPr>
                <w:b w:val="0"/>
                <w:i w:val="0"/>
                <w:sz w:val="18"/>
              </w:rPr>
              <w:t>Barium is toxic to extra-intestinal tissue and causes alkaline burns. Unpleasant taste</w:t>
            </w:r>
          </w:p>
        </w:tc>
      </w:tr>
      <w:tr>
        <w:tc>
          <w:tcPr>
            <w:tcW w:type="dxa" w:w="2556"/>
          </w:tcPr>
          <w:p>
            <w:pPr>
              <w:spacing w:after="40"/>
            </w:pPr>
            <w:r>
              <w:rPr>
                <w:sz w:val="18"/>
              </w:rPr>
            </w:r>
            <w:r>
              <w:rPr>
                <w:b w:val="0"/>
                <w:i w:val="0"/>
                <w:sz w:val="18"/>
              </w:rPr>
              <w:t>Fluoroscopy swallow study</w:t>
            </w:r>
          </w:p>
        </w:tc>
        <w:tc>
          <w:tcPr>
            <w:tcW w:type="dxa" w:w="2556"/>
          </w:tcPr>
          <w:p>
            <w:pPr>
              <w:spacing w:after="40"/>
            </w:pPr>
            <w:r>
              <w:rPr>
                <w:sz w:val="18"/>
              </w:rPr>
            </w:r>
            <w:r>
              <w:rPr>
                <w:b w:val="0"/>
                <w:i w:val="0"/>
                <w:sz w:val="18"/>
              </w:rPr>
              <w:t>Oral barium, with sequential films</w:t>
            </w:r>
          </w:p>
        </w:tc>
        <w:tc>
          <w:tcPr>
            <w:tcW w:type="dxa" w:w="2556"/>
          </w:tcPr>
          <w:p>
            <w:pPr>
              <w:spacing w:after="40"/>
            </w:pPr>
            <w:r>
              <w:rPr>
                <w:sz w:val="18"/>
              </w:rPr>
            </w:r>
            <w:r>
              <w:rPr>
                <w:b w:val="0"/>
                <w:i w:val="0"/>
                <w:sz w:val="18"/>
              </w:rPr>
              <w:t>Same perforation caveat</w:t>
            </w:r>
          </w:p>
        </w:tc>
        <w:tc>
          <w:tcPr>
            <w:tcW w:type="dxa" w:w="2556"/>
          </w:tcPr>
          <w:p>
            <w:pPr>
              <w:spacing w:after="40"/>
            </w:pPr>
            <w:r>
              <w:rPr>
                <w:sz w:val="18"/>
              </w:rPr>
            </w:r>
            <w:r>
              <w:rPr>
                <w:b w:val="0"/>
                <w:i w:val="0"/>
                <w:sz w:val="18"/>
              </w:rPr>
              <w:t>Same</w:t>
            </w:r>
          </w:p>
        </w:tc>
      </w:tr>
      <w:tr>
        <w:tc>
          <w:tcPr>
            <w:tcW w:type="dxa" w:w="2556"/>
          </w:tcPr>
          <w:p>
            <w:pPr>
              <w:spacing w:after="40"/>
            </w:pPr>
            <w:r>
              <w:rPr>
                <w:sz w:val="18"/>
              </w:rPr>
            </w:r>
            <w:r>
              <w:rPr>
                <w:b w:val="0"/>
                <w:i w:val="0"/>
                <w:sz w:val="18"/>
              </w:rPr>
              <w:t>Magnetic resonance</w:t>
            </w:r>
          </w:p>
        </w:tc>
        <w:tc>
          <w:tcPr>
            <w:tcW w:type="dxa" w:w="2556"/>
          </w:tcPr>
          <w:p>
            <w:pPr>
              <w:spacing w:after="40"/>
            </w:pPr>
            <w:r>
              <w:rPr>
                <w:sz w:val="18"/>
              </w:rPr>
            </w:r>
            <w:r>
              <w:rPr>
                <w:b w:val="0"/>
                <w:i w:val="0"/>
                <w:sz w:val="18"/>
              </w:rPr>
              <w:t>Gadolinium</w:t>
            </w:r>
          </w:p>
        </w:tc>
        <w:tc>
          <w:tcPr>
            <w:tcW w:type="dxa" w:w="2556"/>
          </w:tcPr>
          <w:p>
            <w:pPr>
              <w:spacing w:after="40"/>
            </w:pPr>
            <w:r>
              <w:rPr>
                <w:sz w:val="18"/>
              </w:rPr>
            </w:r>
            <w:r>
              <w:rPr>
                <w:b w:val="0"/>
                <w:i w:val="0"/>
                <w:sz w:val="18"/>
              </w:rPr>
              <w:t>Assess blood urea nitrogen and creatinine regardless — renal function matters mainly for clearance</w:t>
            </w:r>
          </w:p>
        </w:tc>
        <w:tc>
          <w:tcPr>
            <w:tcW w:type="dxa" w:w="255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tumours, metastases, soft tissue masses, arthrograms. Magnetic resonance angiography and venography need </w:t>
            </w:r>
            <w:r>
              <w:rPr>
                <w:b/>
                <w:i w:val="0"/>
                <w:sz w:val="18"/>
              </w:rPr>
              <w:t>no</w:t>
            </w:r>
            <w:r>
              <w:rPr>
                <w:b w:val="0"/>
                <w:i w:val="0"/>
                <w:sz w:val="18"/>
              </w:rPr>
              <w:t xml:space="preserve"> contrast</w:t>
            </w:r>
          </w:p>
        </w:tc>
      </w:tr>
      <w:tr>
        <w:tc>
          <w:tcPr>
            <w:tcW w:type="dxa" w:w="2556"/>
          </w:tcPr>
          <w:p>
            <w:pPr>
              <w:spacing w:after="40"/>
            </w:pPr>
            <w:r>
              <w:rPr>
                <w:sz w:val="18"/>
              </w:rPr>
            </w:r>
            <w:r>
              <w:rPr>
                <w:b w:val="0"/>
                <w:i w:val="0"/>
                <w:sz w:val="18"/>
              </w:rPr>
              <w:t>Positron emission tomography</w:t>
            </w:r>
          </w:p>
        </w:tc>
        <w:tc>
          <w:tcPr>
            <w:tcW w:type="dxa" w:w="2556"/>
          </w:tcPr>
          <w:p>
            <w:pPr>
              <w:spacing w:after="40"/>
            </w:pPr>
            <w:r>
              <w:rPr>
                <w:sz w:val="18"/>
              </w:rPr>
            </w:r>
            <w:r>
              <w:rPr>
                <w:b w:val="0"/>
                <w:i w:val="0"/>
                <w:sz w:val="18"/>
              </w:rPr>
              <w:t>Fluorodeoxyglucose-18</w:t>
            </w:r>
          </w:p>
        </w:tc>
        <w:tc>
          <w:tcPr>
            <w:tcW w:type="dxa" w:w="2556"/>
          </w:tcPr>
          <w:p>
            <w:pPr>
              <w:spacing w:after="40"/>
            </w:pPr>
            <w:r>
              <w:rPr>
                <w:sz w:val="18"/>
              </w:rPr>
            </w:r>
            <w:r>
              <w:rPr>
                <w:b w:val="0"/>
                <w:i w:val="0"/>
                <w:sz w:val="18"/>
              </w:rPr>
              <w:t>Nothing specific</w:t>
            </w:r>
          </w:p>
        </w:tc>
        <w:tc>
          <w:tcPr>
            <w:tcW w:type="dxa" w:w="2556"/>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2556"/>
          </w:tcPr>
          <w:p>
            <w:pPr>
              <w:spacing w:after="40"/>
            </w:pPr>
            <w:r>
              <w:rPr>
                <w:sz w:val="18"/>
              </w:rPr>
            </w:r>
            <w:r>
              <w:rPr>
                <w:b w:val="0"/>
                <w:i w:val="0"/>
                <w:sz w:val="18"/>
              </w:rPr>
              <w:t>Single photon emission tomography</w:t>
            </w:r>
          </w:p>
        </w:tc>
        <w:tc>
          <w:tcPr>
            <w:tcW w:type="dxa" w:w="2556"/>
          </w:tcPr>
          <w:p>
            <w:pPr>
              <w:spacing w:after="40"/>
            </w:pPr>
            <w:r>
              <w:rPr>
                <w:sz w:val="18"/>
              </w:rPr>
            </w:r>
            <w:r>
              <w:rPr>
                <w:b w:val="0"/>
                <w:i w:val="0"/>
                <w:sz w:val="18"/>
              </w:rPr>
              <w:t>Technetium-99</w:t>
            </w:r>
          </w:p>
        </w:tc>
        <w:tc>
          <w:tcPr>
            <w:tcW w:type="dxa" w:w="2556"/>
          </w:tcPr>
          <w:p>
            <w:pPr>
              <w:spacing w:after="40"/>
            </w:pPr>
            <w:r>
              <w:rPr>
                <w:sz w:val="18"/>
              </w:rPr>
            </w:r>
            <w:r>
              <w:rPr>
                <w:b w:val="0"/>
                <w:i w:val="0"/>
                <w:sz w:val="18"/>
              </w:rPr>
              <w:t>Nothing specific</w:t>
            </w:r>
          </w:p>
        </w:tc>
        <w:tc>
          <w:tcPr>
            <w:tcW w:type="dxa" w:w="255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