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immunisation status is worth asking. An unimmunised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fibres,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otorrhoea,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oedematous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oedema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aluminium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otorrhoea,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otorrhoea,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oedema.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immobilised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val="0"/>
          <w:i w:val="0"/>
        </w:rPr>
        <w:t>Slides 49–50</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oedema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moulds,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haematoma can appear late.</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haematoma forming under the repair</w:t>
      </w:r>
      <w:r>
        <w:rPr>
          <w:b w:val="0"/>
          <w:i w:val="0"/>
        </w:rPr>
        <w:t>.</w:t>
      </w:r>
      <w:r>
        <w:rPr>
          <w:b w:val="0"/>
          <w:i w:val="0"/>
        </w:rPr>
        <w:t>Education &amp; prognosis</w:t>
      </w:r>
      <w:r>
        <w:rPr>
          <w:b w:val="0"/>
          <w:i w:val="0"/>
        </w:rPr>
        <w:t>Bring any avulsed tissue — reattachment often works.</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oedema;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anaesthetic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val="0"/>
          <w:i w:val="0"/>
        </w:rPr>
        <w:t>Slides 69–70</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Oedema of the tube lining after an </w:t>
      </w:r>
      <w:r>
        <w:rPr>
          <w:b/>
          <w:i w:val="0"/>
        </w:rPr>
        <w:t>upper respiratory infection or allergy</w:t>
      </w:r>
      <w:r>
        <w:rPr>
          <w:b w:val="0"/>
          <w:i w:val="0"/>
        </w:rPr>
        <w:t xml:space="preserve"> stops the tube equalising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manoeuvre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equalise</w:t>
      </w:r>
      <w:r>
        <w:rPr>
          <w:b w:val="0"/>
          <w:i w:val="0"/>
        </w:rPr>
        <w:t xml:space="preserve"> · flying or </w:t>
      </w:r>
      <w:r>
        <w:rPr>
          <w:b/>
          <w:i w:val="0"/>
        </w:rPr>
        <w:t>SCUBA</w:t>
      </w:r>
      <w:r>
        <w:rPr>
          <w:b w:val="0"/>
          <w:i w:val="0"/>
        </w:rPr>
        <w:t xml:space="preserve"> · </w:t>
      </w:r>
      <w:r>
        <w:rPr>
          <w:b/>
          <w:i w:val="0"/>
        </w:rPr>
        <w:t>haemotympanum</w:t>
      </w:r>
      <w:r>
        <w:rPr>
          <w:b w:val="0"/>
          <w:i w:val="0"/>
        </w:rPr>
        <w:t xml:space="preserve"> behind the drum</w:t>
      </w:r>
    </w:p>
    <w:p>
      <w:pPr>
        <w:spacing w:after="120"/>
      </w:pPr>
      <w:r>
        <w:rPr>
          <w:b w:val="0"/>
          <w:i w:val="0"/>
        </w:rPr>
        <w:t>Presentation &amp; who gets it</w:t>
      </w:r>
      <w:r>
        <w:rPr>
          <w:b w:val="0"/>
          <w:i w:val="0"/>
        </w:rPr>
        <w:t xml:space="preserve">Inability to equalise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Haemotympanum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haemotympanum</w:t>
      </w:r>
      <w:r>
        <w:rPr>
          <w:b w:val="0"/>
          <w:i w:val="0"/>
        </w:rPr>
        <w:t xml:space="preserve"> if there is haemorrhage,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Equalise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equalise on descent.</w:t>
      </w:r>
    </w:p>
    <w:p>
      <w:pPr>
        <w:spacing w:after="120"/>
      </w:pPr>
      <w:r>
        <w:rPr>
          <w:b w:val="0"/>
          <w:i w:val="0"/>
        </w:rPr>
        <w:t>Slides 22–25</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immunisation status — an unimmunised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val="0"/>
          <w:i w:val="0"/>
        </w:rPr>
        <w:t>Slides 19</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otorrhoea with no otitis externa</w:t>
      </w:r>
    </w:p>
    <w:p>
      <w:pPr>
        <w:spacing w:after="120"/>
      </w:pPr>
      <w:r>
        <w:rPr>
          <w:b w:val="0"/>
          <w:i w:val="0"/>
        </w:rPr>
        <w:t>Presentation &amp; who gets it</w:t>
      </w:r>
      <w:r>
        <w:rPr>
          <w:b w:val="0"/>
          <w:i w:val="0"/>
        </w:rPr>
        <w:t xml:space="preserve">A collection of </w:t>
      </w:r>
      <w:r>
        <w:rPr>
          <w:b/>
          <w:i w:val="0"/>
        </w:rPr>
        <w:t>keratinised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otorrhoea in the absence of otitis externa</w:t>
      </w:r>
      <w:r>
        <w:rPr>
          <w:b w:val="0"/>
          <w:i w:val="0"/>
        </w:rPr>
        <w:t>, and hearing loss as a late finding.</w:t>
      </w:r>
      <w:r>
        <w:rPr>
          <w:b w:val="0"/>
          <w:i w:val="0"/>
        </w:rPr>
        <w:t>Pain / hearing loss / key finding</w:t>
      </w:r>
      <w:r>
        <w:rPr>
          <w:b w:val="0"/>
          <w:i w:val="0"/>
        </w:rPr>
        <w:t xml:space="preserve">No — otorrhoea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otorrhoea,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val="0"/>
          <w:i w:val="0"/>
        </w:rPr>
        <w:t>Slides 31–37</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lateralises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tumour.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otorrhoea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otorrhoea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otorrhoea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val="0"/>
          <w:i w:val="0"/>
        </w:rPr>
        <w:t>Slides 71</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lateralises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lateralisation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neighbouring slide are explicitly NOT to be memorised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manoeuvre</w:t>
            </w:r>
            <w:r>
              <w:rPr>
                <w:b w:val="0"/>
                <w:i w:val="0"/>
              </w:rPr>
              <w:t xml:space="preserve"> diagnoses positional vertigo and the </w:t>
            </w:r>
            <w:r>
              <w:rPr>
                <w:b/>
                <w:i w:val="0"/>
              </w:rPr>
              <w:t>Epley manoeuvre</w:t>
            </w:r>
            <w:r>
              <w:rPr>
                <w:b w:val="0"/>
                <w:i w:val="0"/>
              </w:rPr>
              <w:t xml:space="preserve"> treats it.</w:t>
            </w:r>
          </w:p>
        </w:tc>
      </w:tr>
    </w:tbl>
    <w:p>
      <w:pPr>
        <w:spacing w:after="80"/>
      </w:pP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lateralises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tumour,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lateralises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lateralises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lateralises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stabilised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realise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memorised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val="0"/>
          <w:i w:val="0"/>
        </w:rPr>
        <w:t>Slides 15, 60–61</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val="0"/>
          <w:i w:val="0"/>
        </w:rPr>
        <w:t>Slides 48</w:t>
      </w:r>
    </w:p>
    <w:p>
      <w:pPr>
        <w:pStyle w:val="Heading3"/>
        <w:spacing w:before="200" w:after="100"/>
      </w:pPr>
      <w:r>
        <w:rPr>
          <w:rFonts w:ascii="Georgia" w:hAnsi="Georgia"/>
          <w:color w:val="6A4FA3"/>
        </w:rPr>
        <w:t>Glomus tumour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tumour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tumour derived from the normal glomus formations of the middle ear and jugular bulb. Produces a </w:t>
      </w:r>
      <w:r>
        <w:rPr>
          <w:b/>
          <w:i w:val="0"/>
        </w:rPr>
        <w:t>middle ear mass effect</w:t>
      </w:r>
      <w:r>
        <w:rPr>
          <w:b w:val="0"/>
          <w:i w:val="0"/>
        </w:rPr>
        <w:t xml:space="preserve">, can present with </w:t>
      </w:r>
      <w:r>
        <w:rPr>
          <w:b/>
          <w:i w:val="0"/>
        </w:rPr>
        <w:t>spontaneous haemorrhage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val="0"/>
          <w:i w:val="0"/>
        </w:rPr>
        <w:t>Slides 50</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stabilisation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stabilisation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aetiology;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val="0"/>
          <w:i w:val="0"/>
        </w:rPr>
        <w:t>Slides 13, 79</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manoeuvre</w:t>
      </w:r>
      <w:r>
        <w:rPr>
          <w:b w:val="0"/>
          <w:i w:val="0"/>
        </w:rPr>
        <w:t xml:space="preserve"> plus a suggestive history. </w:t>
      </w:r>
      <w:r>
        <w:rPr>
          <w:b/>
          <w:i w:val="0"/>
        </w:rPr>
        <w:t>Most cases have no identifiable aetiology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manoeuvre</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aetiology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val="0"/>
          <w:i w:val="0"/>
        </w:rPr>
        <w:t>Slides 96–97</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tumour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behaviour.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val="0"/>
          <w:i w:val="0"/>
        </w:rPr>
        <w:t>Slides 80</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colour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Rust-coloured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rhinorrhoea, postnasal drip, headache. </w:t>
      </w:r>
      <w:r>
        <w:rPr>
          <w:b/>
          <w:i w:val="0"/>
        </w:rPr>
        <w:t>Pain localises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Rhinorrhoea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colour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rust-coloured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colour of the discharge is the thing patients most expect to be diagnostic, and it is the thing that matters least.</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moulds.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val="0"/>
          <w:i w:val="0"/>
        </w:rPr>
        <w:t>Slides 30</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apnoea,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ischaemia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ischaemia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val="0"/>
          <w:i w:val="0"/>
        </w:rPr>
        <w:t>Slides 37–40</w:t>
      </w:r>
    </w:p>
    <w:p>
      <w:pPr>
        <w:pStyle w:val="Heading3"/>
        <w:spacing w:before="200" w:after="100"/>
      </w:pPr>
      <w:r>
        <w:rPr>
          <w:rFonts w:ascii="Georgia" w:hAnsi="Georgia"/>
          <w:color w:val="6A4FA3"/>
        </w:rPr>
        <w:t>Septal haematoma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haematoma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haematoma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anaesthesia.</w:t>
      </w:r>
      <w:r>
        <w:rPr>
          <w:b w:val="0"/>
          <w:i w:val="0"/>
        </w:rPr>
        <w:t>Education &amp; prognosis</w:t>
      </w:r>
      <w:r>
        <w:rPr>
          <w:b w:val="0"/>
          <w:i w:val="0"/>
        </w:rPr>
        <w:t>The same lesson as the auricular haematoma in Lecture 15: cartilage separated from its blood supply does not survive.</w:t>
      </w:r>
    </w:p>
    <w:p>
      <w:pPr>
        <w:spacing w:after="120"/>
      </w:pPr>
      <w:r>
        <w:rPr>
          <w:b w:val="0"/>
          <w:i w:val="0"/>
        </w:rPr>
        <w:t>Slides 41–43</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tumours,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Haematocrit and type and crossmatch in massive or prolonged haemorrhage,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manoeuvres for use at home.</w:t>
      </w:r>
      <w:r>
        <w:rPr>
          <w:b w:val="0"/>
          <w:i w:val="0"/>
        </w:rPr>
        <w:t xml:space="preserve"> And </w:t>
      </w:r>
      <w:r>
        <w:rPr>
          <w:b/>
          <w:i w:val="0"/>
        </w:rPr>
        <w:t>DO NOT BLOW THE NOSE</w:t>
      </w:r>
      <w:r>
        <w:rPr>
          <w:b w:val="0"/>
          <w:i w:val="0"/>
        </w:rPr>
        <w:t xml:space="preserve"> afterwards.</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haemorrhage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haemorrhage.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val="0"/>
          <w:i w:val="0"/>
        </w:rPr>
        <w:t>Slides 45–46</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haematoma.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haematoma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Visualisation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val="0"/>
          <w:i w:val="0"/>
        </w:rPr>
        <w:t>Slides 53–55</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Grey,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grey,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Grey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Rhinorrhoea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oedematous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val="0"/>
          <w:i w:val="0"/>
        </w:rPr>
        <w:t>Slides 13, 26, 66–68</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tumour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tumour.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haemangioma,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oesophagus, thyroid and cricoid cartilage.</w:t>
            </w:r>
          </w:p>
        </w:tc>
      </w:tr>
    </w:tbl>
    <w:p>
      <w:pPr>
        <w:spacing w:after="80"/>
      </w:pP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generalised lymphadenopathy, mononucleosis, sebaceous cyst, deep inflammation or abscess. </w:t>
      </w:r>
      <w:r>
        <w:rPr>
          <w:b/>
          <w:i w:val="0"/>
        </w:rPr>
        <w:t>T</w:t>
      </w:r>
      <w:r>
        <w:rPr>
          <w:b w:val="0"/>
          <w:i w:val="0"/>
        </w:rPr>
        <w:t xml:space="preserve"> toxins and trauma — haematoma.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haemangioma, salivary gland tumour, vascular tumour, neurogenic tumour,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centre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dyspnoea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dyspnoea,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haemangiomas.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Haemangioma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Haemangioma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tumour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generalised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beta-haemolytic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faeces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faeces. Fever, malaise, sore throat and myalgias with the adenopathy.</w:t>
      </w:r>
      <w:r>
        <w:rPr>
          <w:b w:val="0"/>
          <w:i w:val="0"/>
        </w:rPr>
        <w:t>Pain / where it sits / key finding</w:t>
      </w:r>
      <w:r>
        <w:rPr>
          <w:b w:val="0"/>
          <w:i w:val="0"/>
        </w:rPr>
        <w:t xml:space="preserve">Varies · Cervical nodes · </w:t>
      </w:r>
      <w:r>
        <w:rPr>
          <w:b/>
          <w:i w:val="0"/>
        </w:rPr>
        <w:t>Undercooked meat or cat faeces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faeces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Unpasteurised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unpasteurised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Unpasteurised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Generalised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paediatric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paediatric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val="0"/>
          <w:i w:val="0"/>
        </w:rPr>
        <w:t>Slides 35</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tumours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tumour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val="0"/>
          <w:i w:val="0"/>
        </w:rPr>
        <w:t>Slides 37, 39</w:t>
      </w:r>
    </w:p>
    <w:p>
      <w:pPr>
        <w:pStyle w:val="Heading3"/>
        <w:spacing w:before="200" w:after="100"/>
      </w:pPr>
      <w:r>
        <w:rPr>
          <w:rFonts w:ascii="Georgia" w:hAnsi="Georgia"/>
          <w:color w:val="6A4FA3"/>
        </w:rPr>
        <w:t>Primary neck tumours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tumours;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tumour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localised to one lobe with no metastasis.</w:t>
      </w:r>
      <w:r>
        <w:rPr>
          <w:b w:val="0"/>
          <w:i w:val="0"/>
        </w:rPr>
        <w:t>Education &amp; prognosis</w:t>
      </w:r>
      <w:r>
        <w:rPr>
          <w:b w:val="0"/>
          <w:i w:val="0"/>
        </w:rPr>
        <w:t>Commonest and kindest — the pairing is the exam point.</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Haematogenous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tumours,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val="0"/>
          <w:i w:val="0"/>
        </w:rPr>
        <w:t>Slides 45</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tumours are benign</w:t>
            </w:r>
            <w:r>
              <w:rPr>
                <w:b w:val="0"/>
                <w:i w:val="0"/>
                <w:sz w:val="18"/>
              </w:rPr>
              <w:t xml:space="preserve"> — the smaller the gland, the likelier a tumour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greyish-white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A negative rapid test is always confirmed with a throat culture</w:t>
            </w:r>
            <w:r>
              <w:rPr>
                <w:b w:val="0"/>
                <w:i w:val="0"/>
              </w:rPr>
              <w:t xml:space="preserve">, and the definitive test is </w:t>
            </w:r>
            <w:r>
              <w:rPr>
                <w:b/>
                <w:i w:val="0"/>
              </w:rPr>
              <w:t>antistreptolysin O</w:t>
            </w:r>
            <w:r>
              <w:rPr>
                <w:b w:val="0"/>
                <w:i w:val="0"/>
              </w:rPr>
              <w:t>, which matters because carriers culture positive while asymptomatic.</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recognising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greyish-white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greyish-white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manoeuvre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YELLOW-GREY fibrinoid centre with a RED HALO</w:t>
      </w:r>
      <w:r>
        <w:rPr>
          <w:b w:val="0"/>
          <w:i w:val="0"/>
        </w:rPr>
        <w:t xml:space="preserve"> · on </w:t>
      </w:r>
      <w:r>
        <w:rPr>
          <w:b/>
          <w:i w:val="0"/>
        </w:rPr>
        <w:t>non-keratinised,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non-keratinised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Non-keratinised, freely moving</w:t>
      </w:r>
      <w:r>
        <w:rPr>
          <w:b w:val="0"/>
          <w:i w:val="0"/>
        </w:rPr>
        <w:t xml:space="preserve"> mucosa · </w:t>
      </w:r>
      <w:r>
        <w:rPr>
          <w:b/>
          <w:i w:val="0"/>
        </w:rPr>
        <w:t>Yellow-grey fibrinoid centre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cauterisation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Non-keratinised mucosa is the location rule that separates it from herpes.</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grey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keratinised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recognise it.</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val="0"/>
          <w:i w:val="0"/>
        </w:rPr>
        <w:t>Slides 23–24</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tumours,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favour.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oesophagus, neck or chest; neck or chest injury; tumours;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tumour-infiltrated nerve will not recover, while a bruised or stretched one may return over 6 months to a year.</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beta-haemolytic streptococci. </w:t>
      </w:r>
      <w:r>
        <w:rPr>
          <w:b/>
          <w:i w:val="0"/>
        </w:rPr>
        <w:t>Children: the 4 Ds</w:t>
      </w:r>
      <w:r>
        <w:rPr>
          <w:b w:val="0"/>
          <w:i w:val="0"/>
        </w:rPr>
        <w:t xml:space="preserve">. Adults: severe sore throat, dysphagia, odynophagia, fever, dyspnoea,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Paediatric: to theatre</w:t>
      </w:r>
      <w:r>
        <w:rPr>
          <w:b w:val="0"/>
          <w:i w:val="0"/>
        </w:rPr>
        <w:t xml:space="preserve"> for rigid bronchoscopy and emergency tracheotomy standby; inhalation anaesthesia,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nebulised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recognised and treated promptly.</w:t>
      </w:r>
    </w:p>
    <w:p>
      <w:pPr>
        <w:spacing w:after="120"/>
      </w:pPr>
      <w:r>
        <w:rPr>
          <w:b w:val="0"/>
          <w:i w:val="0"/>
        </w:rPr>
        <w:t>Slides 60–67</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beta-haemolytic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beta-haemolytic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w:t>
      </w:r>
      <w:r>
        <w:rPr>
          <w:b/>
          <w:i w:val="0"/>
        </w:rPr>
        <w:t>a negative rapid test is always confirmed with a throat culture</w:t>
      </w:r>
      <w:r>
        <w:rPr>
          <w:b w:val="0"/>
          <w:i w:val="0"/>
        </w:rPr>
        <w:t xml:space="preserve">. </w:t>
      </w:r>
      <w:r>
        <w:rPr>
          <w:b/>
          <w:i w:val="0"/>
        </w:rPr>
        <w:t>Definitive test is antistreptolysin O</w:t>
      </w:r>
      <w:r>
        <w:rPr>
          <w:b w:val="0"/>
          <w:i w:val="0"/>
        </w:rPr>
        <w:t xml:space="preserve">, useful because carriers have a positive culture while asymptomatic.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beta-haemolytic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GREY MEMBRANE</w:t>
      </w:r>
      <w:r>
        <w:rPr>
          <w:b w:val="0"/>
          <w:i w:val="0"/>
        </w:rPr>
        <w:t xml:space="preserve"> over tonsils and pharynx · unimmunised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unimmunised children over 6 years. Nasal: discharge. Laryngeal: upper airway and bronchial obstruction. </w:t>
      </w:r>
      <w:r>
        <w:rPr>
          <w:b/>
          <w:i w:val="0"/>
        </w:rPr>
        <w:t>Pharyngeal: a tenacious grey membrane covering tonsils and pharynx</w:t>
      </w:r>
      <w:r>
        <w:rPr>
          <w:b w:val="0"/>
          <w:i w:val="0"/>
        </w:rPr>
        <w:t xml:space="preserve">, with mild sore throat, fever, malaise, toxaemia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grey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immunisation: childhood schedule plus boosters, and </w:t>
      </w:r>
      <w:r>
        <w:rPr>
          <w:b/>
          <w:i w:val="0"/>
        </w:rPr>
        <w:t>Tdap in every pregnancy between 27 and 36 weeks</w:t>
      </w:r>
      <w:r>
        <w:rPr>
          <w:b w:val="0"/>
          <w:i w:val="0"/>
        </w:rPr>
        <w:t>.</w:t>
      </w:r>
    </w:p>
    <w:p>
      <w:pPr>
        <w:spacing w:after="120"/>
      </w:pPr>
      <w:r>
        <w:rPr>
          <w:b w:val="0"/>
          <w:i w:val="0"/>
        </w:rPr>
        <w:t>Slides 112–114</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beta-haemolytic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beta-haemolytic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beta-haemolytic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Oedema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val="0"/>
          <w:i w:val="0"/>
        </w:rPr>
        <w:t>Slides 108–111</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oedematous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oedematous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ageing,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anaesthesia,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anaemia,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manoeuvre separates three diagnoses.</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tumours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tumours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tumours</w:t>
      </w:r>
      <w:r>
        <w:rPr>
          <w:b w:val="0"/>
          <w:i w:val="0"/>
        </w:rPr>
        <w:t>, though it helps separate malignant from benign. Diffusion-weighted magnetic resonance imaging or computed tomography helps with deep lobe tumours.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tumour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hybridisation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val="0"/>
          <w:i w:val="0"/>
        </w:rPr>
        <w:t>Slides 144–148</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