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(29 of 210 fields in this exam; Mortality alone: 10 of 21).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or moderate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means 30 times higher risk of recurrence);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(DVT prevalence about 5%), get a D-dimer first; 1 to 2: moderate likelihood (pretest probability about 17%), needs a D-dimer;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also called post-thrombotic syndrome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No oral medication has yet been proven useful for venous disease;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is contraindicated with contrast allergy or decreased renal function; magnetic resonance angiography is the alternative with contrast allergy but is contraindicated with pacemakers or intracranial aneurysm clips.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140/90 mmHg (below 130/80 mmHg with diabetes or renal failure); diabetes control; exercise therapy (refer to a supervised exercise rehabilitation program, which beats home-based; 30 to 45 minutes three times a week); weight control. Antiplatelets: aspirin, clopidogrel, cilostazol (antiplatelet and vasodilator) lower cardiovascular risk from myocardial infarction and stroke and improve walking distance. Statins (simvastatin, pravastatin): LDL (low-density lipoprotein) target below 100 mg/dL, below 70 mg/dL if high risk. Pentoxifylline (a xanthine derivative). Folic acid with vitamins B12 and B6 for hyperhomocysteinemia.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often spore-forming clostridial species (gas gangrene)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Responsible for 80% of new noncardioembolic strokes;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(focal loss of neurologic function lasting less than 24 hours), stroke. Focal symptoms (speaker notes): sudden intense headache, paralysis, numbness or tingling, vision changes, amaurosis fugax (transient monocular blindness, vision fading like a curtain descending), drowsiness.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Most common predisposing factor is degeneration of medial collagen and elastin; Marfan syndrome is the classic medial degeneration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Hypertension; Marfan syndrome; medial degeneration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with a beta blocker (esmolol) or vasodilator (nitroprusside);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only; lecture audio emphasis to be added after the 10/01 lecture. Slide conflict: dilated cardiomyopathy shows 'little or no cardiac wall hypertrophy' (slide 18), yet its ECG (electrocardiogram) 'may show left ventricular hypertrophy' (slide 37), so neither is a discriminator. The deck's six embedded YouTube videos (slides 7, 19, 63, 80, 81, 92) are not reproduced here.</w:t>
      </w:r>
    </w:p>
    <w:p>
      <w:pPr>
        <w:spacing w:after="120"/>
      </w:pPr>
      <w:r>
        <w:rPr>
          <w:b w:val="0"/>
          <w:i w:val="0"/>
        </w:rPr>
        <w:t>Dilated cardiomyopathy (DCM), including peripartum cardiomyopathy</w:t>
      </w:r>
      <w:r>
        <w:br/>
      </w: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Long-term excess alcohol (function can recover if intake is reduced or stopped).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Family history of cardiomyopathy or sudden death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may show atrial fibrillation, premature ventricular contractions, left bundle branch block. Echocardiogram: dilated thin walls, ejection fraction below 40%,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excludes heart failure.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Same as chronic heart failure; all patients get a beta blocker plus an ACE (angiotensin-converting enzyme) inhibitor (speaker notes). Drug classes: angiotensin-converting enzyme inhibitors, beta blockers, ARBs (angiotensin receptor blockers), aldosterone receptor blockers (spironolactone), sacubitril/valsartan, nitrates, diuretics (loop diuretics the mainstay), digoxin (second line), antiarrhythmics, anticoagulants (only for atrial fibrillation, artificial valves or mural thrombus). Devices: biventricular pacemaker (moderately severe left ventricular dysfunction); ICD (implantable cardioverter-defibrillator) if ejection fraction is below 35% after maximum medical therapy;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50% mortality at 5 years once symptoms emerge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br/>
      </w: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gadolinium-enhanced MRI (magnetic resonance imaging) shows the extent of inflammation. Endomyocardial biopsy is the gold standard,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one third later develop dilated cardiomyopathy </w:t>
      </w:r>
      <w:r>
        <w:rPr>
          <w:b w:val="0"/>
          <w:i w:val="0"/>
        </w:rPr>
        <w:t>Slides 47, 50, 51</w:t>
      </w:r>
    </w:p>
    <w:p>
      <w:pPr>
        <w:spacing w:after="120"/>
      </w:pPr>
      <w:r>
        <w:rPr>
          <w:b w:val="0"/>
          <w:i w:val="0"/>
        </w:rPr>
        <w:t>Hypertrophic cardiomyopathy (with and without obstruction)</w:t>
      </w:r>
      <w:r>
        <w:br/>
      </w: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systolic anterior motion of the mitral valve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syncope (very common; low output on exertion or arrhythmia) and presyncope on standing relieved by lying down both mark high sudden-death risk and need urgent work-up;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Echocardiography is the typical test of choice: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amiodarone (proven to reduce sudden cardiac death), disopyramide. Avoid, if possible, preload or afterload reducers (nitrates; diuretics only with caution) and positive inotropes (digoxin, epinephrine, norepinephrine).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Education: mild to moderate noncompetitive recreational activity, maintain hydration, avoid excess alcohol.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br/>
      </w: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Infiltrative: amyloidosis (most common in the United States).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rPr>
        <w:t xml:space="preserve">Rare; the least common cardiomyopathy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Kussmaul sign (paradoxical rise in jugular venous pressure with inspiration, also common in constrictive pericarditis);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differentiates (pericardial thickening means pericarditis). Cardiac magnetic resonance imaging also when no cause is found; catheterization for ventricular pressure tracings; endomyocardial biopsy when imaging and genetic testing are negative or tissue would change management. Differential: constrictive pericarditis (must be differentiated),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to lengthen filling time, improve relaxation and reduce sympathetic drive. Anticoagulation for atrial thrombi. Permanent pacemaker for conduction disease. Cardiac transplantation </w:t>
      </w:r>
      <w:r>
        <w:rPr>
          <w:b w:val="0"/>
          <w:i w:val="0"/>
        </w:rPr>
        <w:t>Slides 98, 99</w:t>
      </w:r>
      <w:r>
        <w:rPr>
          <w:b w:val="0"/>
          <w:i w:val="0"/>
        </w:rPr>
        <w:t>Mortality ★</w:t>
      </w:r>
      <w:r>
        <w:rPr>
          <w:b w:val="0"/>
          <w:i w:val="0"/>
        </w:rPr>
        <w:t xml:space="preserve">The poorest prognosis of all types of heart muscle disease </w:t>
      </w:r>
      <w:r>
        <w:rPr>
          <w:b w:val="0"/>
          <w:i w:val="0"/>
        </w:rPr>
        <w:t>Slide 99</w:t>
      </w:r>
    </w:p>
    <w:p>
      <w:pPr>
        <w:spacing w:after="120"/>
      </w:pPr>
      <w:r>
        <w:rPr>
          <w:b w:val="0"/>
          <w:i w:val="0"/>
        </w:rPr>
        <w:t>Takotsubo (stress) cardiomyopathy</w:t>
      </w:r>
      <w:r>
        <w:br/>
      </w: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rPr>
        <w:t xml:space="preserve">90% of cases are postmenopausal women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rPr>
        <w:t xml:space="preserve">Follow acute coronary syndrome protocols (no reliable early differences); admit to cardiology;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most patients recover completely </w:t>
      </w:r>
      <w:r>
        <w:rPr>
          <w:b w:val="0"/>
          <w:i w:val="0"/>
        </w:rPr>
        <w:t>Slide 104</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