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26, 27 and 28 have decks so far; the rest are added as they are posted.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(also called post-thrombotic syndrome)</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the deck gives a prior episode as about </w:t>
      </w:r>
      <w:r>
        <w:rPr>
          <w:b/>
          <w:i w:val="0"/>
          <w:sz w:val="20"/>
        </w:rPr>
        <w:t>30 times</w:t>
      </w:r>
      <w:r>
        <w:rPr>
          <w:b w:val="0"/>
          <w:i w:val="0"/>
          <w:sz w:val="20"/>
        </w:rPr>
        <w:t xml:space="preserve"> higher risk of a recurrence.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 (pretest probability about 17%, slide 55 note)</w:t>
                  </w:r>
                </w:p>
              </w:tc>
              <w:tc>
                <w:tcPr>
                  <w:tcW w:type="dxa" w:w="4848"/>
                </w:tcPr>
                <w:p>
                  <w:pPr>
                    <w:spacing w:after="40"/>
                  </w:pPr>
                  <w:r>
                    <w:rPr>
                      <w:sz w:val="18"/>
                    </w:rPr>
                  </w:r>
                  <w:r>
                    <w:rPr>
                      <w:b/>
                      <w:i w:val="0"/>
                      <w:sz w:val="18"/>
                    </w:rPr>
                    <w:t>D-dimer</w:t>
                  </w:r>
                  <w:r>
                    <w:rPr>
                      <w:b w:val="0"/>
                      <w:i w:val="0"/>
                      <w:sz w:val="18"/>
                    </w:rPr>
                    <w:t>, then ultrasound if positive.</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(and moderate)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and only in patients whose Wells score is low or moderate.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spacing w:after="120"/>
      </w:pPr>
      <w:r>
        <w:rPr>
          <w:b w:val="0"/>
          <w:i w:val="0"/>
        </w:rPr>
        <w:t>Also tested</w:t>
      </w:r>
    </w:p>
    <w:p>
      <w:pPr>
        <w:pStyle w:val="ListBullet"/>
        <w:spacing w:after="40"/>
      </w:pPr>
      <w:r>
        <w:rPr>
          <w:b/>
          <w:i w:val="0"/>
          <w:sz w:val="20"/>
        </w:rPr>
        <w:t>Wells score items and the moderate band.</w:t>
      </w:r>
      <w:r>
        <w:rPr>
          <w:b w:val="0"/>
          <w:i w:val="0"/>
          <w:sz w:val="20"/>
        </w:rPr>
        <w:t xml:space="preserve"> A previously documented deep vein thrombosis adds 1 point, swelling of the entire leg adds 1 point, and recent plaster immobilization adds 1 point. A total of 1 to 2 is the moderate band, which leads to a D-dimer next; a negative D-dimer makes a deep vein thrombosis unlikely.</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spacing w:after="120"/>
      </w:pPr>
      <w:r>
        <w:rPr>
          <w:b w:val="0"/>
          <w:i w:val="0"/>
        </w:rPr>
        <w:t>Also tested</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ListBullet"/>
        <w:spacing w:after="40"/>
      </w:pPr>
      <w:r>
        <w:rPr>
          <w:b/>
          <w:i w:val="0"/>
          <w:sz w:val="20"/>
        </w:rPr>
        <w:t>Outpatient treatment of deep vein thrombosis.</w:t>
      </w:r>
      <w:r>
        <w:rPr>
          <w:b w:val="0"/>
          <w:i w:val="0"/>
          <w:sz w:val="2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thrombosis or pulmonary embolism carries about 30 times the risk of another (slide 50).</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(also called </w:t>
      </w:r>
      <w:r>
        <w:rPr>
          <w:b/>
          <w:i w:val="0"/>
        </w:rPr>
        <w:t>post-thrombotic syndrome</w:t>
      </w:r>
      <w:r>
        <w:rPr>
          <w:b w:val="0"/>
          <w:i w:val="0"/>
        </w:rPr>
        <w:t xml:space="preserv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spacing w:after="120"/>
      </w:pPr>
      <w:r>
        <w:rPr>
          <w:b w:val="0"/>
          <w:i w:val="0"/>
        </w:rPr>
        <w:t>Also tested</w:t>
      </w:r>
    </w:p>
    <w:p>
      <w:pPr>
        <w:pStyle w:val="ListBullet"/>
        <w:spacing w:after="40"/>
      </w:pPr>
      <w:r>
        <w:rPr>
          <w:b/>
          <w:i w:val="0"/>
          <w:sz w:val="20"/>
        </w:rPr>
        <w:t>Prior deep vein thrombosis and chronic venous insufficiency.</w:t>
      </w:r>
      <w:r>
        <w:rPr>
          <w:b w:val="0"/>
          <w:i w:val="0"/>
          <w:sz w:val="20"/>
        </w:rPr>
        <w:t xml:space="preserve"> Prior deep vein thrombosis, through valve scarring and obstruction, is one of the most common causes of chronic venous insufficiency, also called post-thrombotic syndrome.</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spacing w:after="120"/>
      </w:pPr>
      <w:r>
        <w:rPr>
          <w:b w:val="0"/>
          <w:i w:val="0"/>
        </w:rPr>
        <w:t>Also tested</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w:t>
      </w:r>
      <w:r>
        <w:rPr>
          <w:b/>
          <w:i w:val="0"/>
          <w:sz w:val="20"/>
        </w:rPr>
        <w:t>no oral medication has been proven useful</w:t>
      </w:r>
      <w:r>
        <w:rPr>
          <w:b w:val="0"/>
          <w:i w:val="0"/>
          <w:sz w:val="20"/>
        </w:rPr>
        <w:t xml:space="preserve"> for venous disease.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(about 30 times recurrence risk);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(post-thrombotic syndrome):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spacing w:after="120"/>
      </w:pPr>
      <w:r>
        <w:rPr>
          <w:b w:val="0"/>
          <w:i w:val="0"/>
        </w:rPr>
        <w:t>Also tested</w:t>
      </w:r>
    </w:p>
    <w:p>
      <w:pPr>
        <w:pStyle w:val="ListBullet"/>
        <w:spacing w:after="40"/>
      </w:pPr>
      <w:r>
        <w:rPr>
          <w:b/>
          <w:i w:val="0"/>
          <w:sz w:val="20"/>
        </w:rPr>
        <w:t>Claudication history.</w:t>
      </w:r>
      <w:r>
        <w:rPr>
          <w:b w:val="0"/>
          <w:i w:val="0"/>
          <w:sz w:val="20"/>
        </w:rPr>
        <w:t xml:space="preserve"> The history asks where the pain is, how far the patient can walk before it starts, whether that distance has changed, and how long rest takes to relieve it.</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Antiplatelet therapy in peripheral artery disease.</w:t>
      </w:r>
      <w:r>
        <w:rPr>
          <w:b w:val="0"/>
          <w:i w:val="0"/>
          <w:sz w:val="20"/>
        </w:rPr>
        <w:t xml:space="preserve"> Antiplatelet therapy (aspirin, clopidogrel or cilostazol) decreases the overall risk of cardiovascular disease from myocardial infarction and stroke and improves walking distance.</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Ankle-brachial index.</w:t>
      </w:r>
      <w:r>
        <w:rPr>
          <w:b w:val="0"/>
          <w:i w:val="0"/>
          <w:sz w:val="20"/>
        </w:rPr>
        <w:t xml:space="preserve"> A value between 0.4 and 0.9 is the claudication band, matching exertional calf pain relieved by rest; the lower of the two legs is taken as the overall index.</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Wet gangrene = surgical emergency:</w:t>
      </w:r>
      <w:r>
        <w:rPr>
          <w:b w:val="0"/>
          <w:i w:val="0"/>
          <w:sz w:val="20"/>
        </w:rPr>
        <w:t xml:space="preserve"> moist, edematous, blistering, with bacterial infection and a risk of sepsis — often spore-forming </w:t>
      </w:r>
      <w:r>
        <w:rPr>
          <w:b w:val="0"/>
          <w:i/>
          <w:sz w:val="20"/>
        </w:rPr>
        <w:t>Clostridium</w:t>
      </w:r>
      <w:r>
        <w:rPr>
          <w:b w:val="0"/>
          <w:i w:val="0"/>
          <w:sz w:val="20"/>
        </w:rPr>
        <w:t xml:space="preserve"> species that release toxins and gas (gas gangrene).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contraindicated with </w:t>
      </w:r>
      <w:r>
        <w:rPr>
          <w:b/>
          <w:i w:val="0"/>
          <w:sz w:val="20"/>
        </w:rPr>
        <w:t>contrast allergy</w:t>
      </w:r>
      <w:r>
        <w:rPr>
          <w:b w:val="0"/>
          <w:i w:val="0"/>
          <w:sz w:val="20"/>
        </w:rPr>
        <w:t xml:space="preserve"> or </w:t>
      </w:r>
      <w:r>
        <w:rPr>
          <w:b/>
          <w:i w:val="0"/>
          <w:sz w:val="20"/>
        </w:rPr>
        <w:t>decreased renal function</w:t>
      </w:r>
      <w:r>
        <w:rPr>
          <w:b w:val="0"/>
          <w:i w:val="0"/>
          <w:sz w:val="20"/>
        </w:rPr>
        <w:t xml:space="preserve">. </w:t>
      </w:r>
      <w:r>
        <w:rPr>
          <w:b/>
          <w:i w:val="0"/>
          <w:sz w:val="20"/>
        </w:rPr>
        <w:t>Magnetic resonance angiography</w:t>
      </w:r>
      <w:r>
        <w:rPr>
          <w:b w:val="0"/>
          <w:i w:val="0"/>
          <w:sz w:val="20"/>
        </w:rPr>
        <w:t xml:space="preserve"> is the alternative with a contrast allergy; contraindicated with </w:t>
      </w:r>
      <w:r>
        <w:rPr>
          <w:b/>
          <w:i w:val="0"/>
          <w:sz w:val="20"/>
        </w:rPr>
        <w:t>pacemakers</w:t>
      </w:r>
      <w:r>
        <w:rPr>
          <w:b w:val="0"/>
          <w:i w:val="0"/>
          <w:sz w:val="20"/>
        </w:rPr>
        <w:t xml:space="preserve"> and </w:t>
      </w:r>
      <w:r>
        <w:rPr>
          <w:b/>
          <w:i w:val="0"/>
          <w:sz w:val="20"/>
        </w:rPr>
        <w:t>intracranial aneurysm clips</w:t>
      </w:r>
      <w:r>
        <w:rPr>
          <w:b w:val="0"/>
          <w:i w:val="0"/>
          <w:sz w:val="20"/>
        </w:rPr>
        <w:t>.</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Blood pressure</w:t>
      </w:r>
      <w:r>
        <w:rPr>
          <w:b w:val="0"/>
          <w:i w:val="0"/>
          <w:sz w:val="20"/>
        </w:rPr>
        <w:t xml:space="preserve"> goal below </w:t>
      </w:r>
      <w:r>
        <w:rPr>
          <w:b/>
          <w:i w:val="0"/>
          <w:sz w:val="20"/>
        </w:rPr>
        <w:t>140/90 mmHg</w:t>
      </w:r>
      <w:r>
        <w:rPr>
          <w:b w:val="0"/>
          <w:i w:val="0"/>
          <w:sz w:val="20"/>
        </w:rPr>
        <w:t xml:space="preserve">, or below </w:t>
      </w:r>
      <w:r>
        <w:rPr>
          <w:b/>
          <w:i w:val="0"/>
          <w:sz w:val="20"/>
        </w:rPr>
        <w:t>130/80 mmHg</w:t>
      </w:r>
      <w:r>
        <w:rPr>
          <w:b w:val="0"/>
          <w:i w:val="0"/>
          <w:sz w:val="20"/>
        </w:rPr>
        <w:t xml:space="preserve">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xml:space="preserve"> (cilostazol is also a vasodilator). They lower overall cardiovascular risk from heart attack and stroke and improve walking distance.</w:t>
      </w:r>
    </w:p>
    <w:p>
      <w:pPr>
        <w:pStyle w:val="ListBullet"/>
        <w:spacing w:after="40"/>
      </w:pPr>
      <w:r>
        <w:rPr>
          <w:b/>
          <w:i w:val="0"/>
          <w:sz w:val="20"/>
        </w:rPr>
        <w:t>Statins: simvastatin, pravastatin</w:t>
      </w:r>
      <w:r>
        <w:rPr>
          <w:b w:val="0"/>
          <w:i w:val="0"/>
          <w:sz w:val="20"/>
        </w:rPr>
        <w:t xml:space="preserve">; target low-density lipoprotein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and B6.</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spacing w:after="120"/>
      </w:pPr>
      <w:r>
        <w:rPr>
          <w:b w:val="0"/>
          <w:i w:val="0"/>
        </w:rPr>
        <w:t>Also tested</w:t>
      </w:r>
    </w:p>
    <w:p>
      <w:pPr>
        <w:pStyle w:val="ListBullet"/>
        <w:spacing w:after="40"/>
      </w:pPr>
      <w:r>
        <w:rPr>
          <w:b/>
          <w:i w:val="0"/>
          <w:sz w:val="20"/>
        </w:rPr>
        <w:t>Immediately threatened limb.</w:t>
      </w:r>
      <w:r>
        <w:rPr>
          <w:b w:val="0"/>
          <w:i w:val="0"/>
          <w:sz w:val="20"/>
        </w:rPr>
        <w:t xml:space="preserve"> A limb that is immediately threatened is salvageable only with immediate revascularization, so it should preferentially undergo further evaluation and treatment in a surgical suite, without delay.</w:t>
      </w:r>
    </w:p>
    <w:p>
      <w:pPr>
        <w:pStyle w:val="ListBullet"/>
        <w:spacing w:after="40"/>
      </w:pPr>
      <w:r>
        <w:rPr>
          <w:b/>
          <w:i w:val="0"/>
          <w:sz w:val="20"/>
        </w:rPr>
        <w:t>Acute limb ischemia and imaging.</w:t>
      </w:r>
      <w:r>
        <w:rPr>
          <w:b w:val="0"/>
          <w:i w:val="0"/>
          <w:sz w:val="20"/>
        </w:rPr>
        <w:t xml:space="preserve"> Viable and marginally threatened limbs have sufficient time for vascular imaging such as computed tomography angiography; immediately threatened limbs go to a surgical suite.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Responsible for </w:t>
      </w:r>
      <w:r>
        <w:rPr>
          <w:b/>
          <w:i w:val="0"/>
          <w:sz w:val="20"/>
        </w:rPr>
        <w:t>80% of new noncardioembolic strokes</w:t>
      </w:r>
      <w:r>
        <w:rPr>
          <w:b w:val="0"/>
          <w:i w:val="0"/>
          <w:sz w:val="20"/>
        </w:rPr>
        <w: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(focal loss of neurologic function lasting </w:t>
      </w:r>
      <w:r>
        <w:rPr>
          <w:b/>
          <w:i w:val="0"/>
          <w:sz w:val="20"/>
        </w:rPr>
        <w:t>less than 24 hours</w:t>
      </w:r>
      <w:r>
        <w:rPr>
          <w:b w:val="0"/>
          <w:i w:val="0"/>
          <w:sz w:val="20"/>
        </w:rPr>
        <w:t xml:space="preserve">) or a stroke. Focal symptoms (speaker notes): sudden intense headache, paralysis, numbness or tingling on one side, vision changes, drowsiness, and </w:t>
      </w:r>
      <w:r>
        <w:rPr>
          <w:b/>
          <w:i w:val="0"/>
          <w:sz w:val="20"/>
        </w:rPr>
        <w:t>amaurosis fugax</w:t>
      </w:r>
      <w:r>
        <w:rPr>
          <w:b w:val="0"/>
          <w:i w:val="0"/>
          <w:sz w:val="20"/>
        </w:rPr>
        <w:t xml:space="preserve">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spacing w:after="120"/>
      </w:pPr>
      <w:r>
        <w:rPr>
          <w:b w:val="0"/>
          <w:i w:val="0"/>
        </w:rPr>
        <w:t>Also tested</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spacing w:after="120"/>
      </w:pPr>
      <w:r>
        <w:rPr>
          <w:b w:val="0"/>
          <w:i w:val="0"/>
        </w:rPr>
        <w:t>Also tested</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w:t>
      </w:r>
      <w:r>
        <w:rPr>
          <w:b/>
          <w:i w:val="0"/>
          <w:sz w:val="20"/>
        </w:rPr>
        <w:t>Marfan syndrome is the classic medial degeneration</w:t>
      </w:r>
      <w:r>
        <w:rPr>
          <w:b w:val="0"/>
          <w:i w:val="0"/>
          <w:sz w:val="20"/>
        </w:rPr>
        <w:t>.</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with a </w:t>
      </w:r>
      <w:r>
        <w:rPr>
          <w:b/>
          <w:i w:val="0"/>
          <w:sz w:val="20"/>
        </w:rPr>
        <w:t>beta blocker (esmolol)</w:t>
      </w:r>
      <w:r>
        <w:rPr>
          <w:b w:val="0"/>
          <w:i w:val="0"/>
          <w:sz w:val="20"/>
        </w:rPr>
        <w:t xml:space="preserve"> or a </w:t>
      </w:r>
      <w:r>
        <w:rPr>
          <w:b/>
          <w:i w:val="0"/>
          <w:sz w:val="20"/>
        </w:rPr>
        <w:t>vasodilator (nitroprusside)</w:t>
      </w:r>
      <w:r>
        <w:rPr>
          <w:b w:val="0"/>
          <w:i w:val="0"/>
          <w:sz w:val="20"/>
        </w:rPr>
        <w:t xml:space="preserve">;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140/90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(often clostridial, gas) gangrene.</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80% of new noncardioembolic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(under 24 hours),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Marfan syndrome; medial collagen and elastin degeneration (the most common predisposing factor).</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with a beta blocker (esmolol) or nitroprusside;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The deck’s six embedded videos (slides 7, 19, 63, 80, 81, 92) are not reproduced here — watch them in the lecture.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their formulas are not tested, and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 audio after 10/01</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p>
      <w:pPr>
        <w:pStyle w:val="Heading2"/>
        <w:spacing w:before="200" w:after="100"/>
      </w:pPr>
      <w:r>
        <w:rPr>
          <w:rFonts w:ascii="Georgia" w:hAnsi="Georgia"/>
          <w:color w:val="7A2D5A"/>
        </w:rPr>
        <w:t>3.2 · Dilated cardiomyopathy audio after 10/01</w:t>
      </w:r>
    </w:p>
    <w:p>
      <w:pPr>
        <w:spacing w:after="120"/>
      </w:pPr>
      <w:r>
        <w:rPr>
          <w:b w:val="0"/>
          <w:i w:val="0"/>
        </w:rPr>
        <w:t xml:space="preserve">The </w:t>
      </w:r>
      <w:r>
        <w:rPr>
          <w:b/>
          <w:i w:val="0"/>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spacing w:after="120"/>
      </w:pPr>
      <w:r>
        <w:rPr>
          <w:b w:val="0"/>
          <w:i w:val="0"/>
        </w:rPr>
        <w:t>Also tested</w:t>
      </w:r>
    </w:p>
    <w:p>
      <w:pPr>
        <w:pStyle w:val="ListBullet"/>
        <w:spacing w:after="40"/>
      </w:pPr>
      <w:r>
        <w:rPr>
          <w:b/>
          <w:i w:val="0"/>
          <w:sz w:val="20"/>
        </w:rPr>
        <w:t>Anticoagulation in dilated cardiomyopathy.</w:t>
      </w:r>
      <w:r>
        <w:rPr>
          <w:b w:val="0"/>
          <w:i w:val="0"/>
          <w:sz w:val="20"/>
        </w:rPr>
        <w:t xml:space="preserve"> Anticoagulants should be restricted to patients in atrial fibrillation, with artificial valves or with a known mural thrombus.</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i w:val="0"/>
          <w:sz w:val="20"/>
        </w:rPr>
        <w:t>Anticoagulation in dilated cardiomyopathy.</w:t>
      </w:r>
      <w:r>
        <w:rPr>
          <w:b w:val="0"/>
          <w:i w:val="0"/>
          <w:sz w:val="20"/>
        </w:rPr>
        <w:t xml:space="preserve"> Dilated ventricles carry thromboembolic risk; a known mural thrombus is one of three indications to start anticoagulation, with atrial fibrillation and an artificial valve.</w:t>
      </w:r>
    </w:p>
    <w:p>
      <w:pPr>
        <w:pStyle w:val="ListBullet"/>
        <w:spacing w:after="40"/>
      </w:pPr>
      <w:r>
        <w:rPr>
          <w:b/>
          <w:i w:val="0"/>
          <w:sz w:val="20"/>
        </w:rPr>
        <w:t>B-type natriuretic peptide.</w:t>
      </w:r>
      <w:r>
        <w:rPr>
          <w:b w:val="0"/>
          <w:i w:val="0"/>
          <w:sz w:val="20"/>
        </w:rPr>
        <w:t xml:space="preserve"> It is released when ventricular filling pressures are high; a level below 100 pg/mL means heart failure is excluded as the explanation for current symptoms.</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rPr>
        <w:t>family history of cardiomyopathy or sudden death</w:t>
      </w:r>
      <w:r>
        <w:rPr>
          <w:b w:val="0"/>
          <w:i w:val="0"/>
          <w:sz w:val="20"/>
        </w:rPr>
        <w:t>.</w:t>
      </w: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almost rules dilated cardiomyopathy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rPr>
        <w:t>dilated, thin walls (the prominent feature)</w:t>
      </w:r>
      <w:r>
        <w:rPr>
          <w:b w:val="0"/>
          <w:i w:val="0"/>
          <w:sz w:val="20"/>
        </w:rPr>
        <w:t xml:space="preserve">; ejection fraction </w:t>
      </w:r>
      <w:r>
        <w:rPr>
          <w:b/>
          <w:i w:val="0"/>
          <w:sz w:val="20"/>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excludes heart failure</w:t>
      </w:r>
      <w:r>
        <w:rPr>
          <w:b w:val="0"/>
          <w:i w:val="0"/>
          <w:sz w:val="20"/>
        </w:rPr>
        <w:t>.</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rPr>
        <w:t>50% mortality at 5 years once symptoms emerge</w:t>
      </w:r>
      <w:r>
        <w:rPr>
          <w:b w:val="0"/>
          <w:i w:val="0"/>
          <w:sz w:val="20"/>
        </w:rPr>
        <w:t xml:space="preserve"> (progressive disease and sudden death from arrhythmia).</w:t>
      </w: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 audio after 10/01</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rPr>
        <w:t>gadolinium-enhanced magnetic resonance imaging</w:t>
      </w:r>
      <w:r>
        <w:rPr>
          <w:b w:val="0"/>
          <w:i w:val="0"/>
          <w:sz w:val="20"/>
        </w:rPr>
        <w:t xml:space="preserve"> (shows the extent of inflammation).</w:t>
      </w:r>
    </w:p>
    <w:p>
      <w:pPr>
        <w:pStyle w:val="ListBullet"/>
        <w:spacing w:after="40"/>
      </w:pPr>
      <w:r>
        <w:rPr>
          <w:b/>
          <w:i w:val="0"/>
          <w:sz w:val="20"/>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rPr>
        <w:t>one third later develop dilated cardiomyopathy</w:t>
      </w:r>
      <w:r>
        <w:rPr>
          <w:b w:val="0"/>
          <w:i w:val="0"/>
          <w:sz w:val="20"/>
        </w:rPr>
        <w:t>.</w:t>
      </w:r>
    </w:p>
    <w:p>
      <w:pPr>
        <w:spacing w:after="120"/>
      </w:pPr>
      <w:r>
        <w:rPr>
          <w:b w:val="0"/>
          <w:i w:val="0"/>
        </w:rPr>
        <w:t>Also tested</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Heading2"/>
        <w:spacing w:before="200" w:after="100"/>
      </w:pPr>
      <w:r>
        <w:rPr>
          <w:rFonts w:ascii="Georgia" w:hAnsi="Georgia"/>
          <w:color w:val="7A2D5A"/>
        </w:rPr>
        <w:t>3.4 · Hypertrophic cardiomyopathy audio after 10/01</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rPr>
        <w:t>Echocardiography is the typical test of choice.</w:t>
      </w:r>
      <w:r>
        <w:rPr>
          <w:b w:val="0"/>
          <w:i w:val="0"/>
          <w:sz w:val="20"/>
        </w:rPr>
        <w:t xml:space="preserve"> The diagnosis is confirmed by unexplained wall thickness of </w:t>
      </w:r>
      <w:r>
        <w:rPr>
          <w:b/>
          <w:i w:val="0"/>
          <w:sz w:val="20"/>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Education:</w:t>
      </w:r>
      <w:r>
        <w:rPr>
          <w:b w:val="0"/>
          <w:i w:val="0"/>
          <w:sz w:val="20"/>
        </w:rPr>
        <w:t xml:space="preserve"> mild to moderate, </w:t>
      </w:r>
      <w:r>
        <w:rPr>
          <w:b/>
          <w:i w:val="0"/>
          <w:sz w:val="20"/>
        </w:rPr>
        <w:t>noncompetitive</w:t>
      </w:r>
      <w:r>
        <w:rPr>
          <w:b w:val="0"/>
          <w:i w:val="0"/>
          <w:sz w:val="20"/>
        </w:rPr>
        <w:t xml:space="preserve"> recreational activity; </w:t>
      </w:r>
      <w:r>
        <w:rPr>
          <w:b/>
          <w:i w:val="0"/>
          <w:sz w:val="20"/>
        </w:rPr>
        <w:t>stay hydrated</w:t>
      </w:r>
      <w:r>
        <w:rPr>
          <w:b w:val="0"/>
          <w:i w:val="0"/>
          <w:sz w:val="20"/>
        </w:rPr>
        <w:t xml:space="preserve">; </w:t>
      </w:r>
      <w:r>
        <w:rPr>
          <w:b/>
          <w:i w:val="0"/>
          <w:sz w:val="20"/>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p>
      <w:pPr>
        <w:pStyle w:val="Heading2"/>
        <w:spacing w:before="200" w:after="100"/>
      </w:pPr>
      <w:r>
        <w:rPr>
          <w:rFonts w:ascii="Georgia" w:hAnsi="Georgia"/>
          <w:color w:val="7A2D5A"/>
        </w:rPr>
        <w:t>3.5 · Restrictive cardiomyopathy audio after 10/01</w:t>
      </w:r>
    </w:p>
    <w:p>
      <w:pPr>
        <w:pStyle w:val="ListBullet"/>
        <w:spacing w:after="40"/>
      </w:pPr>
      <w:r>
        <w:rPr>
          <w:b/>
          <w:i w:val="0"/>
          <w:sz w:val="20"/>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rPr>
        <w:t>Kussmaul sign</w:t>
      </w:r>
      <w:r>
        <w:rPr>
          <w:b w:val="0"/>
          <w:i w:val="0"/>
          <w:sz w:val="20"/>
        </w:rPr>
        <w:t xml:space="preserve"> may be present — a paradoxical </w:t>
      </w:r>
      <w:r>
        <w:rPr>
          <w:b/>
          <w:i w:val="0"/>
          <w:sz w:val="20"/>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rPr>
        <w:t>constrictive pericarditis — must be differentiated</w:t>
      </w:r>
      <w:r>
        <w:rPr>
          <w:b w:val="0"/>
          <w:i w:val="0"/>
          <w:sz w:val="20"/>
        </w:rPr>
        <w:t>; acute pericarditis; tamponade; valvular disease; hypertrophic cardiomyopathy.</w:t>
      </w:r>
    </w:p>
    <w:p>
      <w:pPr>
        <w:spacing w:after="120"/>
      </w:pPr>
      <w:r>
        <w:rPr>
          <w:b w:val="0"/>
          <w:i w:val="0"/>
        </w:rPr>
        <w:t>Also tested</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separates them — pericardial thickening means pericarditis</w:t>
      </w:r>
      <w:r>
        <w:rPr>
          <w:b w:val="0"/>
          <w:i w:val="0"/>
          <w:sz w:val="20"/>
        </w:rPr>
        <w:t>; it also helps when no cause has been found.</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Beta blockers and verapamil or diltiazem</w:t>
      </w:r>
      <w:r>
        <w:rPr>
          <w:b w:val="0"/>
          <w:i w:val="0"/>
          <w:sz w:val="20"/>
        </w:rPr>
        <w:t xml:space="preserve"> may help by lengthening filling time, improving relaxation and damping sympathetic drive.</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Prognosis: the poorest of all the heart muscle diseases.</w:t>
      </w:r>
    </w:p>
    <w:p>
      <w:pPr>
        <w:pStyle w:val="Heading2"/>
        <w:spacing w:before="200" w:after="100"/>
      </w:pPr>
      <w:r>
        <w:rPr>
          <w:rFonts w:ascii="Georgia" w:hAnsi="Georgia"/>
          <w:color w:val="7A2D5A"/>
        </w:rPr>
        <w:t>3.6 · Stress (Takotsubo) cardiomyopathy audio after 10/01</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rPr>
        <w:t>follow the acute coronary syndrome protocols</w:t>
      </w:r>
      <w:r>
        <w:rPr>
          <w:b w:val="0"/>
          <w:i w:val="0"/>
          <w:sz w:val="20"/>
        </w:rPr>
        <w:t xml:space="preserve">; </w:t>
      </w:r>
      <w:r>
        <w:rPr>
          <w:b/>
          <w:i w:val="0"/>
          <w:sz w:val="20"/>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Prognosis: most recover completely.</w:t>
      </w: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spacing w:after="120"/>
      </w:pPr>
      <w:r>
        <w:rPr>
          <w:b w:val="0"/>
          <w:i w:val="0"/>
        </w:rPr>
        <w:t>Also tested</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Heading2"/>
        <w:spacing w:before="200" w:after="100"/>
      </w:pPr>
      <w:r>
        <w:rPr>
          <w:rFonts w:ascii="Georgia" w:hAnsi="Georgia"/>
          <w:color w:val="7A2D5A"/>
        </w:rPr>
        <w:t>3.7 · The conditions, point by point audio after 10/01</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almost rules it out); echocardiogram (dilated thin walls, ejection fraction below 40%); chest radiograph (cardiomegaly, Kerley B lines); B-type natriuretic peptide (below 100 pg/mL excludes heart failure);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noncompetitive activity,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spacing w:after="120"/>
      </w:pPr>
      <w:r>
        <w:rPr>
          <w:b w:val="0"/>
          <w:i w:val="0"/>
        </w:rPr>
        <w:t>Also tested</w:t>
      </w:r>
    </w:p>
    <w:p>
      <w:pPr>
        <w:pStyle w:val="ListBullet"/>
        <w:spacing w:after="40"/>
      </w:pPr>
      <w:r>
        <w:rPr>
          <w:b/>
          <w:i w:val="0"/>
          <w:sz w:val="20"/>
        </w:rPr>
        <w:t>Cardiac catheterization in hypertrophic cardiomyopathy.</w:t>
      </w:r>
      <w:r>
        <w:rPr>
          <w:b w:val="0"/>
          <w:i w:val="0"/>
          <w:sz w:val="20"/>
        </w:rPr>
        <w:t xml:space="preserve"> It is not required for the diagnosis; it is obtained only when invasive therapy such as a pacemaker or surgery is planned.</w:t>
      </w:r>
    </w:p>
    <w:p>
      <w:pPr>
        <w:pStyle w:val="ListBullet"/>
        <w:spacing w:after="40"/>
      </w:pPr>
      <w:r>
        <w:rPr>
          <w:b/>
          <w:i w:val="0"/>
          <w:sz w:val="20"/>
        </w:rPr>
        <w:t>Restrictive cardiomyopathy on echocardiogram.</w:t>
      </w:r>
      <w:r>
        <w:rPr>
          <w:b w:val="0"/>
          <w:i w:val="0"/>
          <w:sz w:val="20"/>
        </w:rPr>
        <w:t xml:space="preserve"> Marked enlargement of one or both atria (big atria) with near-normal ventricles: near-normal left ventricular systolic function and cavity size, preserved ejection fraction and abnormal diastolic function.</w:t>
      </w:r>
    </w:p>
    <w:p>
      <w:pPr>
        <w:pStyle w:val="ListBullet"/>
        <w:spacing w:after="40"/>
      </w:pPr>
      <w:r>
        <w:rPr>
          <w:b/>
          <w:i w:val="0"/>
          <w:sz w:val="20"/>
        </w:rPr>
        <w:t>Mitral regurgitation in dilated cardiomyopathy.</w:t>
      </w:r>
      <w:r>
        <w:rPr>
          <w:b w:val="0"/>
          <w:i w:val="0"/>
          <w:sz w:val="20"/>
        </w:rPr>
        <w:t xml:space="preserve"> As the ventricle dilates, the valve apparatus is distorted, so functional mitral regurgitation, appearing earlier, and tricuspid regurgitation commonly develop; the mitral murmur is holosystolic at the apex, radiating to the axilla.</w:t>
      </w:r>
    </w:p>
    <w:p>
      <w:pPr>
        <w:pStyle w:val="ListBullet"/>
        <w:spacing w:after="40"/>
      </w:pPr>
      <w:r>
        <w:rPr>
          <w:b/>
          <w:i w:val="0"/>
          <w:sz w:val="20"/>
        </w:rPr>
        <w:t>Restrictive cardiomyopathy testing.</w:t>
      </w:r>
      <w:r>
        <w:rPr>
          <w:b w:val="0"/>
          <w:i w:val="0"/>
          <w:sz w:val="20"/>
        </w:rPr>
        <w:t xml:space="preserve"> Cardiac catheterization is useful to evaluate ventricular pressure tracings, alongside cardiac magnetic resonance imaging and, when needed, endomyocardial biopsy.</w:t>
      </w:r>
    </w:p>
    <w:p>
      <w:pPr>
        <w:pStyle w:val="ListBullet"/>
        <w:spacing w:after="40"/>
      </w:pPr>
      <w:r>
        <w:rPr>
          <w:b/>
          <w:i w:val="0"/>
          <w:sz w:val="20"/>
        </w:rPr>
        <w:t>Sudden death risk in hypertrophic cardiomyopathy.</w:t>
      </w:r>
      <w:r>
        <w:rPr>
          <w:b w:val="0"/>
          <w:i w:val="0"/>
          <w:sz w:val="20"/>
        </w:rPr>
        <w:t xml:space="preserve"> Ambulatory electrocardiogram monitoring for 24 to 48 hours should be performed to assess the risk of ventricular arrhythmias and sudden cardiac death.</w:t>
      </w:r>
    </w:p>
    <w:p>
      <w:pPr>
        <w:pStyle w:val="Heading2"/>
        <w:spacing w:before="200" w:after="100"/>
      </w:pPr>
      <w:r>
        <w:rPr>
          <w:rFonts w:ascii="Georgia" w:hAnsi="Georgia"/>
          <w:color w:val="7A2D5A"/>
        </w:rPr>
        <w:t>3.8 · Populations, rehabilitative and palliative care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rPr>
              <w:t>Genetic screening for hypertrophic cardiomyopathy</w:t>
            </w:r>
            <w:r>
              <w:rPr>
                <w:b w:val="0"/>
                <w:i w:val="0"/>
                <w:sz w:val="18"/>
              </w:rPr>
              <w:t xml:space="preserve">; </w:t>
            </w:r>
            <w:r>
              <w:rPr>
                <w:b/>
                <w:i w:val="0"/>
                <w:sz w:val="18"/>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rPr>
              <w:t>symptom control and quality of life</w:t>
            </w:r>
            <w:r>
              <w:rPr>
                <w:b w:val="0"/>
                <w:i w:val="0"/>
                <w:sz w:val="18"/>
              </w:rPr>
              <w:t xml:space="preserve">; </w:t>
            </w:r>
            <w:r>
              <w:rPr>
                <w:b/>
                <w:i w:val="0"/>
                <w:sz w:val="18"/>
              </w:rPr>
              <w:t>palliative care discussions</w:t>
            </w:r>
            <w:r>
              <w:rPr>
                <w:b w:val="0"/>
                <w:i w:val="0"/>
                <w:sz w:val="18"/>
              </w:rPr>
              <w:t xml:space="preserve"> in advanced stages.</w:t>
            </w:r>
          </w:p>
        </w:tc>
      </w:tr>
    </w:tbl>
    <w:p>
      <w:pPr>
        <w:spacing w:after="80"/>
      </w:pP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val="0"/>
          <w:i w:val="0"/>
        </w:rPr>
        <w:t>Also tested</w:t>
      </w:r>
    </w:p>
    <w:p>
      <w:pPr>
        <w:pStyle w:val="ListBullet"/>
        <w:spacing w:after="40"/>
      </w:pPr>
      <w:r>
        <w:rPr>
          <w:b/>
          <w:i w:val="0"/>
          <w:sz w:val="20"/>
        </w:rPr>
        <w:t>Cardiac rehabilitation.</w:t>
      </w:r>
      <w:r>
        <w:rPr>
          <w:b w:val="0"/>
          <w:i w:val="0"/>
          <w:sz w:val="20"/>
        </w:rPr>
        <w:t xml:space="preserve"> Cardiac rehabilitation programs improve exercise tolerance and quality of life, with education on medication adherence, nutrition and symptom monitoring, and psychological support for chronic illness.</w:t>
      </w:r>
    </w:p>
    <w:p>
      <w:pPr>
        <w:pStyle w:val="ListBullet"/>
        <w:spacing w:after="40"/>
      </w:pPr>
      <w:r>
        <w:rPr>
          <w:b/>
          <w:i w:val="0"/>
          <w:sz w:val="20"/>
        </w:rPr>
        <w:t>Adolescents and hypertrophic cardiomyopathy.</w:t>
      </w:r>
      <w:r>
        <w:rPr>
          <w:b w:val="0"/>
          <w:i w:val="0"/>
          <w:sz w:val="20"/>
        </w:rPr>
        <w:t xml:space="preserve"> Age-specific strategies include genetic screening, and disease detected in a family member is a common reason evaluation begins. The condition is autosomal dominant, so one affected parent is enough to pass it on.</w:t>
      </w:r>
    </w:p>
    <w:p>
      <w:pPr>
        <w:pStyle w:val="ListBullet"/>
        <w:spacing w:after="40"/>
      </w:pPr>
      <w:r>
        <w:rPr>
          <w:b/>
          <w:i w:val="0"/>
          <w:sz w:val="20"/>
        </w:rPr>
        <w:t>Palliative care in cardiomyopathy.</w:t>
      </w:r>
      <w:r>
        <w:rPr>
          <w:b w:val="0"/>
          <w:i w:val="0"/>
          <w:sz w:val="20"/>
        </w:rPr>
        <w:t xml:space="preserve"> It covers symptom management of dyspnea, fatigue and edema, advance care planning and goals-of-care discussions, support for caregivers, and hospice referral in end-stage disease.</w:t>
      </w:r>
    </w:p>
    <w:p>
      <w:pPr>
        <w:pStyle w:val="ListBullet"/>
        <w:spacing w:after="40"/>
      </w:pPr>
      <w:r>
        <w:rPr>
          <w:b/>
          <w:i w:val="0"/>
          <w:sz w:val="20"/>
        </w:rPr>
        <w:t>Activity restriction in hypertrophic cardiomyopathy.</w:t>
      </w:r>
      <w:r>
        <w:rPr>
          <w:b w:val="0"/>
          <w:i w:val="0"/>
          <w:sz w:val="20"/>
        </w:rPr>
        <w:t xml:space="preserve"> Activity restriction for high-risk individuals is an adolescent strategy, because sudden death is highest in preadolescents and adolescents and is related to extreme exertion.</w:t>
      </w:r>
    </w:p>
    <w:p>
      <w:pPr>
        <w:pStyle w:val="ListBullet"/>
        <w:spacing w:after="40"/>
      </w:pPr>
      <w:r>
        <w:rPr>
          <w:b/>
          <w:i w:val="0"/>
          <w:sz w:val="20"/>
        </w:rPr>
        <w:t>Cardiac rehabilitation in cardiomyopathy.</w:t>
      </w:r>
      <w:r>
        <w:rPr>
          <w:b w:val="0"/>
          <w:i w:val="0"/>
          <w:sz w:val="2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(normal almost rules out)</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(pericardial thickening =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or nitroprusside</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