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exclamation-mark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CAERULEAE,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flesh-coloured,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haemorrhagic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TUMOURS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tumours typically at ABOUT 5 YEARS. Chronic lymphocytic leukaemia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tumours · aggressive histology with PERINEURAL or PERIVASCULAR invasion · OVER 1 cm ON THE FACE or OVER 2 cm on trunk/extremities · immunosuppression · tumours WITHIN SCARS · genetic disease-associated tumours.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behaviour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COLOUR.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COLOUR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CLARK LEVELS (slide 50 is an IMAGE)</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Clark vs Breslow</w:t>
            </w:r>
          </w:p>
        </w:tc>
        <w:tc>
          <w:tcPr>
            <w:tcW w:type="dxa" w:w="5112"/>
          </w:tcPr>
          <w:p>
            <w:pPr>
              <w:spacing w:after="40"/>
            </w:pPr>
            <w:r>
              <w:rPr>
                <w:sz w:val="18"/>
              </w:rPr>
            </w:r>
            <w:r>
              <w:rPr>
                <w:b w:val="0"/>
                <w:i w:val="0"/>
                <w:sz w:val="18"/>
              </w:rPr>
              <w:t>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localised, only in skin, VERY THIN. II = localised,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tumour THICKNESS. N = NUMBER OF TUMOUR-INVOLVED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CENTRE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OPTIMISE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OEDEMA MAY OCCUR WITH FEW OR NO VISIBLE SKIN LESIONS — do not gauge disease burden from oedema.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Localised or generalised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colour/thickness/spacing,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TUMOUR. Chronic UNILATERAL verrucous periungual papule or plaque, subungual hyperkeratosis, onycholysis, oozing, bleeding, nail-plate destruction, longitudinal ERYTHRONYCHIA — OFTEN REPEATEDLY LABELLED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tumour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haemorrhages or localised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Characterise before you diagnose</w:t>
            </w:r>
          </w:p>
        </w:tc>
        <w:tc>
          <w:tcPr>
            <w:tcW w:type="dxa" w:w="5112"/>
          </w:tcPr>
          <w:p>
            <w:pPr>
              <w:spacing w:after="40"/>
            </w:pPr>
            <w:r>
              <w:rPr>
                <w:sz w:val="18"/>
              </w:rPr>
            </w:r>
            <w:r>
              <w:rPr>
                <w:b w:val="0"/>
                <w:i w:val="0"/>
                <w:sz w:val="18"/>
              </w:rPr>
              <w:t>PRIMARY LESION TYPE · COLOUR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favour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