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Analyser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727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colour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colour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paediatric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orthopaedics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 radioactive form of iodine</w:t>
            </w:r>
          </w:p>
        </w:tc>
        <w:tc>
          <w:tcPr>
            <w:tcW w:type="dxa" w:w="363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3636"/>
          </w:tcPr>
          <w:p>
            <w:pPr>
              <w:spacing w:after="40"/>
            </w:pPr>
            <w:r>
              <w:rPr>
                <w:sz w:val="18"/>
              </w:rPr>
            </w:r>
            <w:r>
              <w:rPr>
                <w:b w:val="0"/>
                <w:i w:val="0"/>
                <w:sz w:val="18"/>
              </w:rPr>
              <w:t>Nephrotoxicity. Indicated for inflammation, cancer staging, tumour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localisation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millimetres with the centimetres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colonisation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oedema,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tumours.</w:t>
            </w:r>
            <w:r>
              <w:rPr>
                <w:sz w:val="18"/>
              </w:rPr>
              <w:br/>
            </w:r>
            <w:r>
              <w:rPr>
                <w:sz w:val="18"/>
              </w:rPr>
              <w:br/>
            </w:r>
            <w:r>
              <w:rPr>
                <w:b/>
                <w:i w:val="0"/>
                <w:sz w:val="18"/>
              </w:rPr>
              <w:t>Think MRI for soft tissue, nerves, and tumour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tumour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neutralise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anaemia: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w:t>
      </w:r>
      <w:r>
        <w:rPr>
          <w:b/>
          <w:i w:val="0"/>
        </w:rPr>
        <w:t>No lecture recording exists for this topic yet</w:t>
      </w:r>
      <w:r>
        <w:rPr>
          <w:b w:val="0"/>
          <w:i w:val="0"/>
        </w:rPr>
        <w:t xml:space="preserve"> — everything here is from the slides, and where the deck states a value two different ways both are shown rather than one being chosen silently.</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