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Only Lectures 26, 27 and 28 have decks so far; the rest are added as they are posted.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Lecture 27 is built from the slides only until its audio arrives after 10/01.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speaker note writes the low group as “score &lt; 0” where the table says “zero or less”; this guide uses the table’s wording.</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cut-offs.</w:t>
            </w:r>
            <w:r>
              <w:rPr>
                <w:b w:val="0"/>
                <w:i w:val="0"/>
                <w:sz w:val="20"/>
              </w:rPr>
              <w:t xml:space="preserve"> The slide 28 speaker note says 0.90 or less is peripheral artery disease; the slide 30 note says compression cannot be used below 0.7. Two cut-offs on two slides,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w:t>
                  </w:r>
                </w:p>
              </w:tc>
              <w:tc>
                <w:tcPr>
                  <w:tcW w:type="dxa" w:w="4848"/>
                </w:tcPr>
                <w:p>
                  <w:pPr>
                    <w:spacing w:after="40"/>
                  </w:pPr>
                  <w:r>
                    <w:rPr>
                      <w:sz w:val="18"/>
                    </w:rPr>
                  </w:r>
                  <w:r>
                    <w:rPr>
                      <w:b w:val="0"/>
                      <w:i w:val="0"/>
                      <w:sz w:val="18"/>
                    </w:rPr>
                    <w:t>Not shown: the slide 56 pathway has only low and high likelihood.</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spacing w:after="120"/>
      </w:pPr>
      <w:r>
        <w:rPr>
          <w:b/>
          <w:i w:val="0"/>
        </w:rPr>
        <w:t>Wells score items and the moderate band.</w:t>
      </w:r>
      <w:r>
        <w:rPr>
          <w:b w:val="0"/>
          <w:i w:val="0"/>
        </w:rPr>
        <w:t xml:space="preserve"> A previously documented deep vein thrombosis adds 1 point, swelling of the entire leg adds 1 point, and recent plaster immobilization adds 1 point. A total of 1 to 2 is the moderate band.</w:t>
      </w:r>
    </w:p>
    <w:p>
      <w:pPr>
        <w:spacing w:after="120"/>
      </w:pPr>
      <w:r>
        <w:rPr>
          <w:b/>
          <w:i w:val="0"/>
        </w:rPr>
        <w:t>Low likelihood, negative thigh ultrasound.</w:t>
      </w:r>
      <w:r>
        <w:rPr>
          <w:b w:val="0"/>
          <w:i w:val="0"/>
        </w:rPr>
        <w:t xml:space="preserve"> In the low likelihood pathway a positive D-dimer leads to ultrasound of the thigh, and a negative ultrasound ends the work-up; the repeat and extra imaging options belong to the high likelihood pathway.</w:t>
      </w:r>
    </w:p>
    <w:p>
      <w:pPr>
        <w:spacing w:after="120"/>
      </w:pPr>
      <w:r>
        <w:rPr>
          <w:b/>
          <w:i w:val="0"/>
        </w:rPr>
        <w:t>High likelihood, negative D-dimer.</w:t>
      </w:r>
      <w:r>
        <w:rPr>
          <w:b w:val="0"/>
          <w:i w:val="0"/>
        </w:rPr>
        <w:t xml:space="preserve"> With a high Wells score the D-dimer is skipped, or if it was drawn, a negative result does not end the evaluation: the patient still goes to venous duplex ultrasound.</w:t>
      </w:r>
    </w:p>
    <w:p>
      <w:pPr>
        <w:spacing w:after="120"/>
      </w:pPr>
      <w:r>
        <w:rPr>
          <w:b/>
          <w:i w:val="0"/>
        </w:rPr>
        <w:t>High likelihood, negative thigh ultrasound.</w:t>
      </w:r>
      <w:r>
        <w:rPr>
          <w:b w:val="0"/>
          <w:i w:val="0"/>
        </w:rPr>
        <w:t xml:space="preserve"> In the high-likelihood pathway a negative thigh ultrasound is followed by lower-leg ultrasound, phlebography or a repeat thigh ultrasound in 1 week; active cancer, entire leg swelling, calf swelling over 3 cm and pitting edema give a high Wells score of 4.</w:t>
      </w: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in the slide 56 pathway it is the first test for low likelihood.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it is classically contraindicated with </w:t>
      </w:r>
      <w:r>
        <w:rPr>
          <w:b/>
          <w:i w:val="0"/>
          <w:sz w:val="20"/>
        </w:rPr>
        <w:t>pacemakers</w:t>
      </w:r>
      <w:r>
        <w:rPr>
          <w:b w:val="0"/>
          <w:i w:val="0"/>
          <w:sz w:val="20"/>
        </w:rPr>
        <w:t xml:space="preserve"> and </w:t>
      </w:r>
      <w:r>
        <w:rPr>
          <w:b/>
          <w:i w:val="0"/>
          <w:sz w:val="20"/>
        </w:rPr>
        <w:t>intracranial aneurysm clips</w:t>
      </w:r>
      <w:r>
        <w:rPr>
          <w:b w:val="0"/>
          <w:i w:val="0"/>
          <w:sz w:val="20"/>
        </w:rPr>
        <w:t>, though some newer devices and clips are made safe for scanning.</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It causes a meaningful minority of ischemic strokes (roughly </w:t>
      </w:r>
      <w:r>
        <w:rPr>
          <w:b/>
          <w:i w:val="0"/>
          <w:sz w:val="20"/>
        </w:rPr>
        <w:t>10 to 20%</w:t>
      </w:r>
      <w:r>
        <w:rPr>
          <w:b w:val="0"/>
          <w:i w:val="0"/>
          <w:sz w:val="20"/>
        </w:rPr>
        <w:t>); the deck says 80% of new noncardioembolic strokes, which overstates it.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xml:space="preserve">, but current definitions rest on the absence of tissue injury rather than a time cutoff) or a stroke. Focal symptoms include weakness or paralysis, numbness or tingling on one side, trouble speaking, vision changes, and </w:t>
      </w:r>
      <w:r>
        <w:rPr>
          <w:b/>
          <w:i w:val="0"/>
          <w:sz w:val="20"/>
        </w:rPr>
        <w:t>amaurosis fugax</w:t>
      </w:r>
      <w:r>
        <w:rPr>
          <w:b w:val="0"/>
          <w:i w:val="0"/>
          <w:sz w:val="20"/>
        </w:rPr>
        <w:t xml:space="preserve"> (the speaker notes also list sudden intense headache and drowsiness, but those are not focal carotid deficits)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a </w:t>
      </w:r>
      <w:r>
        <w:rPr>
          <w:b/>
          <w:i w:val="0"/>
          <w:sz w:val="20"/>
        </w:rPr>
        <w:t>history of hypertension</w:t>
      </w:r>
      <w:r>
        <w:rPr>
          <w:b w:val="0"/>
          <w:i w:val="0"/>
          <w:sz w:val="20"/>
        </w:rPr>
        <w:t xml:space="preserve"> is present in most cases.</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using a </w:t>
      </w:r>
      <w:r>
        <w:rPr>
          <w:b/>
          <w:i w:val="0"/>
          <w:sz w:val="20"/>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roughly 10 to 20% of ischemic strokes (the deck says 80% of new noncardioembolic strokes, which overstates it).</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Medial collagen and elastin degeneration (the most common predisposing factor; Marfan syndrome is the classic form); hypertension (a history in most cases).</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 but current guidelines find no antiarrhythmic proven to prevent sudden death (the implantable cardioverter-defibrillator is), so that claim is never keyed.</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Current guidelines rely on the implantable defibrillator to prevent sudden death; amiodarone is an adjunct for arrhythmias, and no randomized trial shows that it prevents sudden death. </w:t>
            </w:r>
            <w:r>
              <w:rPr>
                <w:b/>
                <w:i w:val="0"/>
                <w:sz w:val="20"/>
              </w:rPr>
              <w:t>Learn:</w:t>
            </w:r>
            <w:r>
              <w:rPr>
                <w:b w:val="0"/>
                <w:i w:val="0"/>
                <w:sz w:val="20"/>
              </w:rPr>
              <w:t xml:space="preserve"> the slide’s pairing (amiodarone and disopyramide as the antiarrhythmics, the defibrillator as the device), and do not rely on the word “proven”.</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Drug classes and drugs used</w:t>
      </w:r>
      <w:r>
        <w:rPr>
          <w:b w:val="0"/>
          <w:i w:val="0"/>
          <w:sz w:val="20"/>
        </w:rPr>
        <w:t xml:space="preserve"> </w:t>
      </w:r>
      <w:r>
        <w:rPr>
          <w:b w:val="0"/>
          <w:i w:val="0"/>
          <w:sz w:val="20"/>
        </w:rPr>
        <w:t>Slide 42</w:t>
      </w:r>
      <w:r>
        <w:rPr>
          <w:b w:val="0"/>
          <w:i w:val="0"/>
          <w:sz w:val="20"/>
        </w:rPr>
        <w:t>: angiotensin-converting enzyme inhibitors; beta blockers; angiotensin receptor blockers; aldosterone receptor blockers (spironolactone); sacubitril/valsartan; nitrates; diuretics; digoxin (considered a second-line drug); antiarrhythmics; anticoagulants.</w:t>
      </w:r>
    </w:p>
    <w:p>
      <w:pPr>
        <w:pStyle w:val="ListBullet"/>
        <w:spacing w:after="40"/>
      </w:pPr>
      <w:r>
        <w:rPr>
          <w:b/>
          <w:i w:val="0"/>
          <w:sz w:val="20"/>
        </w:rPr>
        <w:t>Digoxin in dilated cardiomyopathy.</w:t>
      </w:r>
      <w:r>
        <w:rPr>
          <w:b w:val="0"/>
          <w:i w:val="0"/>
          <w:sz w:val="20"/>
        </w:rPr>
        <w:t xml:space="preserve"> Digoxin is on the list of drugs used to manage dilated cardiomyopathy, but it is considered a second-line drug, added after core therapy such as a beta blocker and an angiotensin-converting enzyme inhibitor.</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an </w:t>
      </w:r>
      <w:r>
        <w:rPr>
          <w:b/>
          <w:i w:val="0"/>
          <w:sz w:val="20"/>
        </w:rPr>
        <w:t>implantable cardioverter-defibrillator</w:t>
      </w:r>
      <w:r>
        <w:rPr>
          <w:b w:val="0"/>
          <w:i w:val="0"/>
          <w:sz w:val="20"/>
        </w:rPr>
        <w:t>. Slide 76 also lists the antiarrhythmics amiodarone and disopyramide under this heading (see the amiodarone note).</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Amiodarone and sudden death.</w:t>
      </w:r>
      <w:r>
        <w:rPr>
          <w:b w:val="0"/>
          <w:i w:val="0"/>
          <w:sz w:val="20"/>
        </w:rPr>
        <w:t xml:space="preserve"> Amiodarone converts atrial fibrillation and flutter to sinus rhythm and suppresses their recurrence. Slide 78 also calls it proven to reduce sudden cardiac death, but current guidelines find no antiarrhythmic proven to prevent sudden death; the implantable cardioverter-defibrillator is the proven measure.</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the calcium channel blockers verapamil or diltiazem</w:t>
      </w:r>
      <w:r>
        <w:rPr>
          <w:b w:val="0"/>
          <w:i w:val="0"/>
          <w:sz w:val="20"/>
        </w:rPr>
        <w:t xml:space="preserve"> may be of benefit by increasing left ventricular filling time, improving ventricular relaxation and decreasing compensatory sympathetic stimulation.</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The slide 42 list: angiotensin-converting enzyme inhibitors, beta blockers, angiotensin receptor blockers, spironolactone, sacubitril/valsartan, nitrates, diuretics, digoxin (second line), antiarrhythmics, anticoagulants.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(may help by lengthening filling time and improving relaxation);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