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Analyser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727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 Note that iodinated and gadolinium agents are not themselves radioactive; only nuclear medicine tracers such as technetium-99 are.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colour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colour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paediatric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orthopaedics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 Note that iodinated and gadolinium agents are not themselves radioactive; only nuclear medicine tracers such as technetium-99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 radioactive form of iodine. Note that iodinated and gadolinium agents are not themselves radioactive; only nuclear medicine tracers such as technetium-99 are.</w:t>
            </w:r>
          </w:p>
        </w:tc>
        <w:tc>
          <w:tcPr>
            <w:tcW w:type="dxa" w:w="363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3636"/>
          </w:tcPr>
          <w:p>
            <w:pPr>
              <w:spacing w:after="40"/>
            </w:pPr>
            <w:r>
              <w:rPr>
                <w:sz w:val="18"/>
              </w:rPr>
            </w:r>
            <w:r>
              <w:rPr>
                <w:b w:val="0"/>
                <w:i w:val="0"/>
                <w:sz w:val="18"/>
              </w:rPr>
              <w:t>Nephrotoxicity. Indicated for inflammation, cancer staging, tumour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localisation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millimetres with the centimetres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colonisation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oedema,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tumours.</w:t>
            </w:r>
            <w:r>
              <w:rPr>
                <w:sz w:val="18"/>
              </w:rPr>
              <w:br/>
            </w:r>
            <w:r>
              <w:rPr>
                <w:sz w:val="18"/>
              </w:rPr>
              <w:br/>
            </w:r>
            <w:r>
              <w:rPr>
                <w:b/>
                <w:i w:val="0"/>
                <w:sz w:val="18"/>
              </w:rPr>
              <w:t>Think MRI for soft tissue, nerves, and tumour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tumour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neutralise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anaemia: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millimetres of mercury.”</w:t>
            </w:r>
            <w:r>
              <w:rPr>
                <w:b w:val="0"/>
                <w:i w:val="0"/>
              </w:rPr>
              <w:t xml:space="preserve"> Shorthand is for handwritten bedside notes and older records.</w:t>
            </w:r>
          </w:p>
        </w:tc>
      </w:tr>
    </w:tbl>
    <w:p>
      <w:pPr>
        <w:spacing w:after="80"/>
      </w:pP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 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hyperkalaemia and hypokalaemia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hyperchloraemic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hyperglycaemia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ischaemia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hyperbilirubinaemia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haemolysis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ischaemia, toxins</w:t>
      </w:r>
      <w:r>
        <w:rPr>
          <w:b w:val="0"/>
          <w:i w:val="0"/>
        </w:rPr>
        <w:t>. Magnitude bands: mild under 5×, moderate 5–15×, severe over 15× the upper limit.</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uraemia, diabetic ketoacidosis, paraldehyde and propylene glycol, isoniazid and iron, lactic acidosis, ethylene glycol, salicylates. </w:t>
            </w:r>
            <w:r>
              <w:rPr>
                <w:b/>
                <w:i w:val="0"/>
              </w:rPr>
              <w:t>Normal gap</w:t>
            </w:r>
            <w:r>
              <w:rPr>
                <w:b w:val="0"/>
                <w:i w:val="0"/>
              </w:rPr>
              <w:t xml:space="preserve"> → bicarbonate loss from gut or kidney, i.e. hyperchloraemic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oedema,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Hyponatraemia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Hyponatraemia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hyponatraemia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Localises it: </w:t>
            </w:r>
            <w:r>
              <w:rPr>
                <w:b/>
                <w:i w:val="0"/>
                <w:sz w:val="18"/>
              </w:rPr>
              <w:t>&lt;20</w:t>
            </w:r>
            <w:r>
              <w:rPr>
                <w:b w:val="0"/>
                <w:i w:val="0"/>
                <w:sz w:val="18"/>
              </w:rPr>
              <w:t xml:space="preserve"> suggests hypovolaemia;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hypovolaemia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Hyperglycaemia lowers the measured sodium</w:t>
            </w:r>
            <w:r>
              <w:rPr>
                <w:b w:val="0"/>
                <w:i w:val="0"/>
              </w:rPr>
              <w:t xml:space="preserve"> by about 1.6–2 mEq/L per 100 mg/dL of glucose above normal — use a corrected sodium, from a calculator. </w:t>
            </w:r>
            <w:r>
              <w:rPr>
                <w:b/>
                <w:i w:val="0"/>
              </w:rPr>
              <w:t>Pseudohyponatraemia</w:t>
            </w:r>
            <w:r>
              <w:rPr>
                <w:b w:val="0"/>
                <w:i w:val="0"/>
              </w:rPr>
              <w:t xml:space="preserve"> from severe hyperlipidaemia or hyperproteinaemia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alkalaemia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paediatrics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colour, transparency, odour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Colour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colourless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tumour,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anaesthetics</w:t>
            </w:r>
          </w:p>
        </w:tc>
      </w:tr>
    </w:tbl>
    <w:p>
      <w:pPr>
        <w:spacing w:after="80"/>
      </w:pPr>
    </w:p>
    <w:p>
      <w:pPr>
        <w:spacing w:after="120"/>
      </w:pPr>
      <w:r>
        <w:rPr>
          <w:b w:val="0"/>
          <w:i w:val="0"/>
        </w:rPr>
        <w:t xml:space="preserve">The medication colours are a </w:t>
      </w:r>
      <w:r>
        <w:rPr>
          <w:b/>
          <w:i w:val="0"/>
        </w:rPr>
        <w:t>patient education point</w:t>
      </w:r>
      <w:r>
        <w:rPr>
          <w:b w:val="0"/>
          <w:i w:val="0"/>
        </w:rPr>
        <w:t>: tell the patient before they start, so a startling colour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colour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Odour.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odour suggests bacterial infection; a </w:t>
      </w:r>
      <w:r>
        <w:rPr>
          <w:b/>
          <w:i w:val="0"/>
        </w:rPr>
        <w:t>faecal</w:t>
      </w:r>
      <w:r>
        <w:rPr>
          <w:b w:val="0"/>
          <w:i w:val="0"/>
        </w:rPr>
        <w:t xml:space="preserve"> odour suggests an enterovesical fistula; a </w:t>
      </w:r>
      <w:r>
        <w:rPr>
          <w:b/>
          <w:i w:val="0"/>
        </w:rPr>
        <w:t>fruity or sweet</w:t>
      </w:r>
      <w:r>
        <w:rPr>
          <w:b w:val="0"/>
          <w:i w:val="0"/>
        </w:rPr>
        <w:t xml:space="preserve"> odour means ketones, and sends you to the blood sugar.</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Alkalinise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emphasised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metabolised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decilitre.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tumour,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catheterisation,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colonised rather than acutely infected. Gram stain and culture are what make the diagnosis definitive.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p>
      <w:pPr>
        <w:spacing w:after="120"/>
      </w:pPr>
      <w:r>
        <w:rPr>
          <w:b w:val="0"/>
          <w:i w:val="0"/>
        </w:rPr>
        <w:t>← Back to Homepage</w:t>
      </w:r>
    </w:p>
    <w:p>
      <w:pPr>
        <w:spacing w:after="120"/>
      </w:pPr>
      <w:r>
        <w:rPr>
          <w:b w:val="0"/>
          <w:i w:val="0"/>
        </w:rPr>
        <w:t>Built from your PAJ 5600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