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6B3524"/>
        </w:rPr>
        <w:t>Asthma and Chronic Obstructive Pulmonary Disease Drugs Compared by Class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Pharmacology I · Exam 3 · Class of 2028</w:t>
      </w:r>
    </w:p>
    <w:p>
      <w:pPr>
        <w:spacing w:after="120"/>
      </w:pPr>
      <w:r>
        <w:rPr>
          <w:b w:val="0"/>
          <w:i w:val="0"/>
        </w:rPr>
        <w:t>Every respiratory drug class side by side: quick relief or long-term controller, how it works, what it causes and what to teach. Smoking cessation agents are at the end. No doses.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Lecture 11 — Drugs for Pulmonary Infections, Asthma and Chronic Obstructive Pulmonary Disease 15 rows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4544"/>
      </w:tblGrid>
      <w:tr>
        <w:tc>
          <w:tcPr>
            <w:tcW w:type="dxa" w:w="1454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Read the second column first.</w:t>
            </w:r>
            <w:r>
              <w:rPr>
                <w:b w:val="0"/>
                <w:i w:val="0"/>
              </w:rPr>
              <w:t xml:space="preserve"> The quick-relief drugs are the short-acting beta-2 agonists, the anticholinergics and the systemic corticosteroids; everything else is a long-term controller taken daily whether or not the patient feels well. </w:t>
            </w:r>
            <w:r>
              <w:rPr>
                <w:b/>
                <w:i w:val="0"/>
              </w:rPr>
              <w:t>Two never-alone rules:</w:t>
            </w:r>
            <w:r>
              <w:rPr>
                <w:b w:val="0"/>
                <w:i w:val="0"/>
              </w:rPr>
              <w:t xml:space="preserve"> a long-acting beta-2 agonist is never used alone in asthma (hence the combination inhalers), and the mast cell stabilizers must be taken before the exposure. </w:t>
            </w:r>
            <w:r>
              <w:rPr>
                <w:b/>
                <w:i w:val="0"/>
              </w:rPr>
              <w:t>Chronic obstructive pulmonary disease by group</w:t>
            </w:r>
            <w:r>
              <w:rPr>
                <w:b w:val="0"/>
                <w:i w:val="0"/>
              </w:rPr>
              <w:t xml:space="preserve"> (slide 102): group A a short-acting bronchodilator as needed; group B a long-acting muscarinic antagonist or long-acting beta-2 agonist; group C a long-acting muscarinic antagonist; group D a long-acting muscarinic antagonist, or both long-acting bronchodilators with severe breathlessness, or an inhaled glucocorticoid with a long-acting beta-2 agonist when asthma overlaps; every group avoids smoking and gets influenza and pneumococcal vaccines. </w:t>
            </w:r>
            <w:r>
              <w:rPr>
                <w:b w:val="0"/>
                <w:i/>
              </w:rPr>
              <w:t>Current guidelines differ: the 2023 report merged groups C and D into group E.</w:t>
            </w:r>
            <w:r>
              <w:rPr>
                <w:b w:val="0"/>
                <w:i w:val="0"/>
              </w:rPr>
              <w:t xml:space="preserve"> Doses are not tested and are left out.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Class and drugs</w:t>
            </w:r>
          </w:p>
        </w:tc>
        <w:tc>
          <w:tcPr>
            <w:tcW w:type="dxa" w:w="2424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Quick relief or controller</w:t>
            </w:r>
          </w:p>
        </w:tc>
        <w:tc>
          <w:tcPr>
            <w:tcW w:type="dxa" w:w="2424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Mechanism</w:t>
            </w:r>
          </w:p>
        </w:tc>
        <w:tc>
          <w:tcPr>
            <w:tcW w:type="dxa" w:w="2424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Adverse effects</w:t>
            </w:r>
          </w:p>
        </w:tc>
        <w:tc>
          <w:tcPr>
            <w:tcW w:type="dxa" w:w="2424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Cautions and education</w:t>
            </w:r>
          </w:p>
        </w:tc>
        <w:tc>
          <w:tcPr>
            <w:tcW w:type="dxa" w:w="2424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Short-acting beta-2 agonists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albuterol (ProAir, Ventolin), levalbuterol (Xopenex)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Quick relief</w:t>
            </w:r>
            <w:r>
              <w:rPr>
                <w:b w:val="0"/>
                <w:i w:val="0"/>
                <w:sz w:val="18"/>
              </w:rPr>
              <w:t>; work rapidly, last 4 to 6 hours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Raise cAMP (cyclic adenosine monophosphate), which inhibits myosin light chain kinase and </w:t>
            </w:r>
            <w:r>
              <w:rPr>
                <w:b/>
                <w:i w:val="0"/>
                <w:sz w:val="18"/>
              </w:rPr>
              <w:t>relaxes airway smooth muscle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Tachycardia, hypotension, headache, dizziness, insomnia, tremor, hyperglycemia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Use sparingly: overuse means poor control</w:t>
            </w:r>
            <w:r>
              <w:rPr>
                <w:b w:val="0"/>
                <w:i w:val="0"/>
                <w:sz w:val="18"/>
              </w:rPr>
              <w:t>; wait 15 to 30 seconds between puffs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68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98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Long-acting beta-2 agonists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formoterol (Foradil), salmeterol (Serevent)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Controller</w:t>
            </w:r>
            <w:r>
              <w:rPr>
                <w:b w:val="0"/>
                <w:i w:val="0"/>
                <w:sz w:val="18"/>
              </w:rPr>
              <w:t>; last 12 hours or more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Same as the short-acting drugs (cyclic adenosine monophosphate up, smooth muscle relaxed)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 for the short-acting drugs: increased heart rate, tremor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Never alone for asthma</w:t>
            </w:r>
            <w:r>
              <w:rPr>
                <w:b w:val="0"/>
                <w:i w:val="0"/>
                <w:sz w:val="18"/>
              </w:rPr>
              <w:t>: only with an inhaled corticosteroid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70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68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Inhaled corticosteroids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beclomethasone, budesonide, flunisolide, fluticasone, mometasone, triamcinolone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Controller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Inhibit the inflammatory cascade; lower bronchial responsiveness long term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Oral candidiasis (thrush)</w:t>
            </w:r>
            <w:r>
              <w:rPr>
                <w:b w:val="0"/>
                <w:i w:val="0"/>
                <w:sz w:val="18"/>
              </w:rPr>
              <w:t>; growth suppression in children at high dose; immune inhibition (systemic action)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Up to 8 weeks for maximal effect</w:t>
            </w:r>
            <w:r>
              <w:rPr>
                <w:b w:val="0"/>
                <w:i w:val="0"/>
                <w:sz w:val="18"/>
              </w:rPr>
              <w:t>: take daily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67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Combination inhalers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Symbicort, Dulera, Advair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Controller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Formoterol/budesonide (Symbicort), formoterol/mometasone (Dulera), salmeterol/fluticasone (Advair): a long-acting beta-2 agonist plus an inhaled corticosteroid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Those of the two components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way a long-acting beta-2 agonist is used in asthma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74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Leukotriene modifier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montelukast (Singulair)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Controller</w:t>
            </w:r>
            <w:r>
              <w:rPr>
                <w:b w:val="0"/>
                <w:i w:val="0"/>
                <w:sz w:val="18"/>
              </w:rPr>
              <w:t>; oral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Leukotriene D4 receptor (cysteinyl leukotriene 1 receptor) antagonist</w:t>
            </w:r>
            <w:r>
              <w:rPr>
                <w:b w:val="0"/>
                <w:i w:val="0"/>
                <w:sz w:val="18"/>
              </w:rPr>
              <w:t>; that receptor mediates inflammation, bronchial constriction and mucus secretion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Listed as minimal and well tolerated. </w:t>
            </w:r>
            <w:r>
              <w:rPr>
                <w:b w:val="0"/>
                <w:i/>
                <w:sz w:val="18"/>
              </w:rPr>
              <w:t>Current labeling differs: an FDA (Food and Drug Administration) boxed warning for neuropsychiatric events.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Effective in aspirin-induced asthma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67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Mast cell stabilizers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cromolyn sodium, nedocromil (Tilade)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Controller</w:t>
            </w:r>
            <w:r>
              <w:rPr>
                <w:b w:val="0"/>
                <w:i w:val="0"/>
                <w:sz w:val="18"/>
              </w:rPr>
              <w:t>; inhaled; limited use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Stabilize mast cells to remove the trigger or antigen; mechanism unknown (may interfere with calcium)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listed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Must be taken before the antigen insult</w:t>
            </w:r>
            <w:r>
              <w:rPr>
                <w:b w:val="0"/>
                <w:i w:val="0"/>
                <w:sz w:val="18"/>
              </w:rPr>
              <w:t>; up to 4 weeks to work, so take regularly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78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77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Anti-immunoglobulin E antibody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omalizumab (Xolair)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Controller</w:t>
            </w:r>
            <w:r>
              <w:rPr>
                <w:b w:val="0"/>
                <w:i w:val="0"/>
                <w:sz w:val="18"/>
              </w:rPr>
              <w:t>; subcutaneous every 2 to 4 weeks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Binds circulating immunoglobulin E, decreasing high-affinity receptors on mast cells and preventing degranulation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Anaphylaxis</w:t>
            </w:r>
            <w:r>
              <w:rPr>
                <w:b w:val="0"/>
                <w:i w:val="0"/>
                <w:sz w:val="18"/>
              </w:rPr>
              <w:t>, urticaria, gastrointestinal disturbances, neutralizing antibodies, secondary malignancies, injection-site pain, bruising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Watch after each injection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80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Other biologics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mepolizumab, benralizumab, reslizumab; dupilumab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Controller</w:t>
            </w:r>
            <w:r>
              <w:rPr>
                <w:b w:val="0"/>
                <w:i w:val="0"/>
                <w:sz w:val="18"/>
              </w:rPr>
              <w:t xml:space="preserve"> (step 5 add-on)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Anti-interleukin-5 (mepolizumab, benralizumab, reslizumab; reslizumab given intravenously); anti-interleukin-4 (dupilumab)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Similar to omalizumab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For the </w:t>
            </w:r>
            <w:r>
              <w:rPr>
                <w:b/>
                <w:i w:val="0"/>
                <w:sz w:val="18"/>
              </w:rPr>
              <w:t>eosinophilic phenotype</w:t>
            </w:r>
            <w:r>
              <w:rPr>
                <w:b w:val="0"/>
                <w:i w:val="0"/>
                <w:sz w:val="18"/>
              </w:rPr>
              <w:t xml:space="preserve"> (blood eosinophils above 150 per microliter)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90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Methylxanthines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theophylline (aminophylline intravenously)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Controller</w:t>
            </w:r>
            <w:r>
              <w:rPr>
                <w:b w:val="0"/>
                <w:i w:val="0"/>
                <w:sz w:val="18"/>
              </w:rPr>
              <w:t>; limited use; used in chronic obstructive pulmonary disease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Inhibits phosphodiesterase (types 4 and 5), raising cyclic adenosine monophosphate and cyclic guanosine monophosphate; adenosine receptor (A2B) antagonist; anti-inflammatory in the late response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Arrhythmias, convulsions, headache, nausea, insomnia, heartburn; gastric acid stimulation; diuresis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Narrow therapeutic index: monitor plasma levels.</w:t>
            </w:r>
            <w:r>
              <w:rPr>
                <w:b w:val="0"/>
                <w:i w:val="0"/>
                <w:sz w:val="18"/>
              </w:rPr>
              <w:t xml:space="preserve"> Less effective and less well tolerated than long-acting bronchodilators. </w:t>
            </w:r>
            <w:r>
              <w:rPr>
                <w:b w:val="0"/>
                <w:i/>
                <w:sz w:val="18"/>
              </w:rPr>
              <w:t>The slides call it renally eliminated; it is mainly metabolized by the liver.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84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85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Short-acting anticholinergic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ipratropium (Atrovent)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Quick relief</w:t>
            </w:r>
            <w:r>
              <w:rPr>
                <w:b w:val="0"/>
                <w:i w:val="0"/>
                <w:sz w:val="18"/>
              </w:rPr>
              <w:t>; up to 8 hours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Blocks acetylcholine at muscarinic receptors: bronchodilation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Anticholinergic: blurry vision, dry mouth and eyes, flushing, fever, constipation, urinary retention, tachycardia, delirium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Teach the dry mouth and urinary retention to report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87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67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Long-acting anticholinergic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tiotropium (Spiriva)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Controller</w:t>
            </w:r>
            <w:r>
              <w:rPr>
                <w:b w:val="0"/>
                <w:i w:val="0"/>
                <w:sz w:val="18"/>
              </w:rPr>
              <w:t>; 24 hours or more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Same muscarinic block as ipratropium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Same anticholinergic profile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The slides disagree: marked for chronic obstructive pulmonary disease only on the anticholinergic list, yet listed as an add-on at asthma steps 4 and 5.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90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Systemic corticosteroids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prednisone, prednisolone, methylprednisolone, dexamethasone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Quick relief</w:t>
            </w:r>
            <w:r>
              <w:rPr>
                <w:b w:val="0"/>
                <w:i w:val="0"/>
                <w:sz w:val="18"/>
              </w:rPr>
              <w:t xml:space="preserve"> for exacerbations; intravenous preferred in status asthmaticus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Suppress, control and reverse airway inflammation; inhibit inflammatory cytokines; </w:t>
            </w:r>
            <w:r>
              <w:rPr>
                <w:b/>
                <w:i w:val="0"/>
                <w:sz w:val="18"/>
              </w:rPr>
              <w:t>most potent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Adrenal suppression, growth suppression, dermal thinning, hypertension, hyperglycemia, mood change, steroid myopathy, immunosuppression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Limited use because of side effects</w:t>
            </w:r>
            <w:r>
              <w:rPr>
                <w:b w:val="0"/>
                <w:i w:val="0"/>
                <w:sz w:val="18"/>
              </w:rPr>
              <w:t>; taper a longer course (general rule given: more than 5 days; references differ)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88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99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67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Bupropion sustained release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Zyban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Smoking cessation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Inhibits norepinephrine and dopamine uptake, mimicking nicotine’s indirect activation of epinephrine and dopamine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Avoid with a seizure disorder or monoamine oxidase inhibitors</w:t>
            </w:r>
            <w:r>
              <w:rPr>
                <w:b w:val="0"/>
                <w:i w:val="0"/>
                <w:sz w:val="18"/>
              </w:rPr>
              <w:t>; caution with tricyclic antidepressants and venlafaxine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105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Nicotine replacement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patch, gum, spray, inhaler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Smoking cessation; 6 to 12 weeks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Replaces nicotine: reduces craving and physical withdrawal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Tachyarrhythmias, hypertension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Patches and gum are over the counter</w:t>
            </w:r>
            <w:r>
              <w:rPr>
                <w:b w:val="0"/>
                <w:i w:val="0"/>
                <w:sz w:val="18"/>
              </w:rPr>
              <w:t>; caution in cardiovascular disease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106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104</w:t>
            </w:r>
          </w:p>
        </w:tc>
      </w:tr>
      <w:tr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Varenicline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Chantix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Smoking cessation; 12 weeks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Partial nicotine receptor agonist</w:t>
            </w:r>
            <w:r>
              <w:rPr>
                <w:b w:val="0"/>
                <w:i w:val="0"/>
                <w:sz w:val="18"/>
              </w:rPr>
              <w:t>, to a lesser degree than nicotine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Nausea, sleep disturbance, headache; </w:t>
            </w:r>
            <w:r>
              <w:rPr>
                <w:b/>
                <w:i w:val="0"/>
                <w:sz w:val="18"/>
              </w:rPr>
              <w:t>black box warning: neuropsychiatric events</w:t>
            </w:r>
            <w:r>
              <w:rPr>
                <w:b w:val="0"/>
                <w:i w:val="0"/>
                <w:sz w:val="18"/>
              </w:rPr>
              <w:t xml:space="preserve"> (depression, suicidal ideation)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Start one week before the quit date.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Current labeling differs: the boxed warning was removed in 2016.</w:t>
            </w:r>
          </w:p>
        </w:tc>
        <w:tc>
          <w:tcPr>
            <w:tcW w:type="dxa" w:w="24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107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Every row is checked against the slide it cites by </w:t>
      </w:r>
      <w:r>
        <w:rPr>
          <w:rFonts w:ascii="Consolas" w:hAnsi="Consolas"/>
          <w:b w:val="0"/>
          <w:i w:val="0"/>
          <w:sz w:val="18"/>
        </w:rPr>
        <w:t>tools/check_pharm_e3.py</w:t>
      </w:r>
      <w:r>
        <w:rPr>
          <w:b w:val="0"/>
          <w:i w:val="0"/>
        </w:rPr>
        <w:t xml:space="preserve"> before this page is written. 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