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Pneumonia and Bronchitis: Empiric Regimens by Setting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3 · Class of 2028</w:t>
      </w:r>
    </w:p>
    <w:p>
      <w:pPr>
        <w:spacing w:after="120"/>
      </w:pPr>
      <w:r>
        <w:rPr>
          <w:b w:val="0"/>
          <w:i w:val="0"/>
        </w:rPr>
        <w:t>Acute bronchitis, community-acquired pneumonia (outpatient, ward, intensive care) and nosocomial pneumonia (limited or broad spectrum) side by side: who belongs in each setting, the likely pathogens, the empiric regimen and what to watch. No doses.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11 — Drugs for Pulmonary Infections, Asthma and Chronic Obstructive Pulmonary Disease 8 rows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4544"/>
      </w:tblGrid>
      <w:tr>
        <w:tc>
          <w:tcPr>
            <w:tcW w:type="dxa" w:w="1454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Read the regimen column as a ladder.</w:t>
            </w:r>
            <w:r>
              <w:rPr>
                <w:b w:val="0"/>
                <w:i w:val="0"/>
              </w:rPr>
              <w:t xml:space="preserve"> Outpatient pneumonia with no resistance risk gets one drug; a resistance risk adds a beta-lactam to the macrolide (or swaps both for a respiratory fluoroquinolone, the beta-lactam allergy route); the ward makes the beta-lactam intravenous; intensive care makes everything intravenous and adds thought about methicillin-resistant </w:t>
            </w:r>
            <w:r>
              <w:rPr>
                <w:b w:val="0"/>
                <w:i/>
              </w:rPr>
              <w:t>Staphylococcus aureus</w:t>
            </w:r>
            <w:r>
              <w:rPr>
                <w:b w:val="0"/>
                <w:i w:val="0"/>
              </w:rPr>
              <w:t xml:space="preserve">. In the hospital, the question is whether multidrug-resistant risk is present: no gives one limited-spectrum drug, yes gives three (two gram-negative drugs plus vancomycin or linezolid). </w:t>
            </w:r>
            <w:r>
              <w:rPr>
                <w:b/>
                <w:i w:val="0"/>
              </w:rPr>
              <w:t>Current guidelines differ</w:t>
            </w:r>
            <w:r>
              <w:rPr>
                <w:b w:val="0"/>
                <w:i w:val="0"/>
              </w:rPr>
              <w:t xml:space="preserve"> on two points: they prefer amoxicillin or doxycycline over a macrolide for a healthy outpatient (macrolides only where pneumococcal resistance is low), and the 2016 hospital-acquired pneumonia guideline no longer uses health-care associated pneumonia as a category. The slides are what you are tested on. Doses are not tested and are left out.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2424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Who belongs here</w:t>
            </w:r>
          </w:p>
        </w:tc>
        <w:tc>
          <w:tcPr>
            <w:tcW w:type="dxa" w:w="2424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Likely pathogens</w:t>
            </w:r>
          </w:p>
        </w:tc>
        <w:tc>
          <w:tcPr>
            <w:tcW w:type="dxa" w:w="2424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Empiric regimen</w:t>
            </w:r>
          </w:p>
        </w:tc>
        <w:tc>
          <w:tcPr>
            <w:tcW w:type="dxa" w:w="2424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2424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Acute bronchitis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Inflammation of one or more bronchi, sparing the bronchioles and alveoli; acute at any age, chronic mainly in chronic obstructive pulmonary disease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Viruses</w:t>
            </w:r>
            <w:r>
              <w:rPr>
                <w:b w:val="0"/>
                <w:i w:val="0"/>
                <w:sz w:val="18"/>
              </w:rPr>
              <w:t xml:space="preserve"> (rhinovirus, coronavirus, influenza, adenovirus); occasionally bacteria (</w:t>
            </w:r>
            <w:r>
              <w:rPr>
                <w:b w:val="0"/>
                <w:i/>
                <w:sz w:val="18"/>
              </w:rPr>
              <w:t>Mycoplasma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Chlamydia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Bordetella pertussis</w:t>
            </w:r>
            <w:r>
              <w:rPr>
                <w:b w:val="0"/>
                <w:i w:val="0"/>
                <w:sz w:val="18"/>
              </w:rPr>
              <w:t xml:space="preserve">, streptococci, staphylococci, </w:t>
            </w:r>
            <w:r>
              <w:rPr>
                <w:b w:val="0"/>
                <w:i/>
                <w:sz w:val="18"/>
              </w:rPr>
              <w:t>Haemophilus</w:t>
            </w:r>
            <w:r>
              <w:rPr>
                <w:b w:val="0"/>
                <w:i w:val="0"/>
                <w:sz w:val="18"/>
              </w:rPr>
              <w:t>), sometimes after a viral illness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Supportive care; routine antibiotics not recommended.</w:t>
            </w:r>
            <w:r>
              <w:rPr>
                <w:b w:val="0"/>
                <w:i w:val="0"/>
                <w:sz w:val="18"/>
              </w:rPr>
              <w:t xml:space="preserve"> Symptoms beyond 5 days: consider bacteria — </w:t>
            </w:r>
            <w:r>
              <w:rPr>
                <w:b/>
                <w:i w:val="0"/>
                <w:sz w:val="18"/>
              </w:rPr>
              <w:t>doxycycline</w:t>
            </w:r>
            <w:r>
              <w:rPr>
                <w:b w:val="0"/>
                <w:i w:val="0"/>
                <w:sz w:val="18"/>
              </w:rPr>
              <w:t xml:space="preserve"> (preferred if </w:t>
            </w:r>
            <w:r>
              <w:rPr>
                <w:b w:val="0"/>
                <w:i/>
                <w:sz w:val="18"/>
              </w:rPr>
              <w:t>Mycoplasma</w:t>
            </w:r>
            <w:r>
              <w:rPr>
                <w:b w:val="0"/>
                <w:i w:val="0"/>
                <w:sz w:val="18"/>
              </w:rPr>
              <w:t xml:space="preserve"> is documented, because of macrolide resistance) or a macrolide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Possibly avoid antihistamines and sympathomimetics; avoid a respiratory fluoroquinolone unless there was recent antibiotic exposure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Community-acquired, outpatient, no resistance risk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 risk factor for resistant </w:t>
            </w:r>
            <w:r>
              <w:rPr>
                <w:b w:val="0"/>
                <w:i/>
                <w:sz w:val="18"/>
              </w:rPr>
              <w:t>S. pneumoniae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S.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M.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H. influenzae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Moraxella catarrhalis</w:t>
            </w:r>
            <w:r>
              <w:rPr>
                <w:b w:val="0"/>
                <w:i w:val="0"/>
                <w:sz w:val="18"/>
              </w:rPr>
              <w:t>, respiratory viruses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First line: a macrolide</w:t>
            </w:r>
            <w:r>
              <w:rPr>
                <w:b w:val="0"/>
                <w:i w:val="0"/>
                <w:sz w:val="18"/>
              </w:rPr>
              <w:t xml:space="preserve"> (azithromycin, clarithromycin). Second line: doxycycline, minocycline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Empiric therapy; diagnostic tests not routinely performed. </w:t>
            </w:r>
            <w:r>
              <w:rPr>
                <w:b w:val="0"/>
                <w:i/>
                <w:sz w:val="18"/>
              </w:rPr>
              <w:t>Current guidelines differ (see the note below).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Community-acquired, outpatient, resistance risk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Age over 65, a beta-lactam in the past 3 months, alcoholism, immunosuppression, comorbidities, a child in day care at home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Penicillin-resistant </w:t>
            </w:r>
            <w:r>
              <w:rPr>
                <w:b w:val="0"/>
                <w:i/>
                <w:sz w:val="18"/>
              </w:rPr>
              <w:t>S. pneumoniae</w:t>
            </w:r>
            <w:r>
              <w:rPr>
                <w:b w:val="0"/>
                <w:i w:val="0"/>
                <w:sz w:val="18"/>
              </w:rPr>
              <w:t xml:space="preserve"> on top of the outpatient list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Beta-lactam plus a macrolide</w:t>
            </w:r>
            <w:r>
              <w:rPr>
                <w:b w:val="0"/>
                <w:i w:val="0"/>
                <w:sz w:val="18"/>
              </w:rPr>
              <w:t xml:space="preserve"> (amoxicillin with or without clavulanic acid; cefuroxime or cefpodoxime) </w:t>
            </w:r>
            <w:r>
              <w:rPr>
                <w:b/>
                <w:i w:val="0"/>
                <w:sz w:val="18"/>
              </w:rPr>
              <w:t>or a respiratory fluoroquinolone</w:t>
            </w:r>
            <w:r>
              <w:rPr>
                <w:b w:val="0"/>
                <w:i w:val="0"/>
                <w:sz w:val="18"/>
              </w:rPr>
              <w:t xml:space="preserve"> (levofloxacin, moxifloxacin)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fluoroquinolone route suits a </w:t>
            </w:r>
            <w:r>
              <w:rPr>
                <w:b/>
                <w:i w:val="0"/>
                <w:sz w:val="18"/>
              </w:rPr>
              <w:t>beta-lactam allergy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13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Community-acquired, inpatient (not intensive care)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Admitted to the ward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S.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M.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C.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H. influenzae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Legionella</w:t>
            </w:r>
            <w:r>
              <w:rPr>
                <w:b w:val="0"/>
                <w:i w:val="0"/>
                <w:sz w:val="18"/>
              </w:rPr>
              <w:t>, aspiration, respiratory viruses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Intravenous beta-lactam</w:t>
            </w:r>
            <w:r>
              <w:rPr>
                <w:b w:val="0"/>
                <w:i w:val="0"/>
                <w:sz w:val="18"/>
              </w:rPr>
              <w:t xml:space="preserve"> (cefotaxime, ceftriaxone, high-dose ampicillin) </w:t>
            </w:r>
            <w:r>
              <w:rPr>
                <w:b/>
                <w:i w:val="0"/>
                <w:sz w:val="18"/>
              </w:rPr>
              <w:t>plus an intravenous or oral macrolide</w:t>
            </w:r>
            <w:r>
              <w:rPr>
                <w:b w:val="0"/>
                <w:i w:val="0"/>
                <w:sz w:val="18"/>
              </w:rPr>
              <w:t>, or doxycycline, or a respiratory fluoroquinolone (beta-lactam allergy)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Blood and sputum cultures before antibiotics</w:t>
            </w:r>
            <w:r>
              <w:rPr>
                <w:b w:val="0"/>
                <w:i w:val="0"/>
                <w:sz w:val="18"/>
              </w:rPr>
              <w:t>; sputum gram stain is controversial (often contaminated)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Community-acquired, intensive care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Admitted to the intensive care unit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S.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Staphylococcus aureus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Legionella</w:t>
            </w:r>
            <w:r>
              <w:rPr>
                <w:b w:val="0"/>
                <w:i w:val="0"/>
                <w:sz w:val="18"/>
              </w:rPr>
              <w:t xml:space="preserve">, gram-negative bacilli, </w:t>
            </w:r>
            <w:r>
              <w:rPr>
                <w:b w:val="0"/>
                <w:i/>
                <w:sz w:val="18"/>
              </w:rPr>
              <w:t>H. influenzae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Same as the ward, all intravenous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Consider MRSA (methicillin-resistant </w:t>
            </w:r>
            <w:r>
              <w:rPr>
                <w:b w:val="0"/>
                <w:i/>
                <w:sz w:val="18"/>
              </w:rPr>
              <w:t>Staphylococcus aureus</w:t>
            </w:r>
            <w:r>
              <w:rPr>
                <w:b w:val="0"/>
                <w:i w:val="0"/>
                <w:sz w:val="18"/>
              </w:rPr>
              <w:t>) coverage if warranted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Nosocomial, limited spectrum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Pneumonia more than 48 hours after admission, with </w:t>
            </w:r>
            <w:r>
              <w:rPr>
                <w:b/>
                <w:i w:val="0"/>
                <w:sz w:val="18"/>
              </w:rPr>
              <w:t>neither late onset (5 days or more) nor a multidrug-resistant risk factor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Nosocomial pathogens without multidrug resistance; levofloxacin or moxifloxacin if atypical pathogens are a worry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Ceftriaxone</w:t>
            </w:r>
            <w:r>
              <w:rPr>
                <w:b w:val="0"/>
                <w:i w:val="0"/>
                <w:sz w:val="18"/>
              </w:rPr>
              <w:t xml:space="preserve">, or </w:t>
            </w:r>
            <w:r>
              <w:rPr>
                <w:b/>
                <w:i w:val="0"/>
                <w:sz w:val="18"/>
              </w:rPr>
              <w:t>levofloxacin or moxifloxacin</w:t>
            </w:r>
            <w:r>
              <w:rPr>
                <w:b w:val="0"/>
                <w:i w:val="0"/>
                <w:sz w:val="18"/>
              </w:rPr>
              <w:t xml:space="preserve">, or </w:t>
            </w:r>
            <w:r>
              <w:rPr>
                <w:b/>
                <w:i w:val="0"/>
                <w:sz w:val="18"/>
              </w:rPr>
              <w:t>ampicillin/sulbactam</w:t>
            </w:r>
            <w:r>
              <w:rPr>
                <w:b w:val="0"/>
                <w:i w:val="0"/>
                <w:sz w:val="18"/>
              </w:rPr>
              <w:t xml:space="preserve">, or </w:t>
            </w:r>
            <w:r>
              <w:rPr>
                <w:b/>
                <w:i w:val="0"/>
                <w:sz w:val="18"/>
              </w:rPr>
              <w:t>ertapenem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Start at once; streamline when cultures and sensitivities return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16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Nosocomial, broad spectrum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Late onset (5 days or more) or a multidrug-resistant risk factor</w:t>
            </w:r>
            <w:r>
              <w:rPr>
                <w:b w:val="0"/>
                <w:i w:val="0"/>
                <w:sz w:val="18"/>
              </w:rPr>
              <w:t>: prior antibiotics, colonization, hospitalization or chronic care, immunosuppressive disease or therapy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Gram-negative bacilli (</w:t>
            </w:r>
            <w:r>
              <w:rPr>
                <w:b/>
                <w:i/>
                <w:sz w:val="18"/>
              </w:rPr>
              <w:t>Pseudomonas aeruginosa</w:t>
            </w:r>
            <w:r>
              <w:rPr>
                <w:b/>
                <w:i w:val="0"/>
                <w:sz w:val="18"/>
              </w:rPr>
              <w:t xml:space="preserve"> most common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E. coli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K. pneumoniae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Acinetobacter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Enterobacter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Serratia</w:t>
            </w:r>
            <w:r>
              <w:rPr>
                <w:b w:val="0"/>
                <w:i w:val="0"/>
                <w:sz w:val="18"/>
              </w:rPr>
              <w:t>); gram-positive cocci (</w:t>
            </w:r>
            <w:r>
              <w:rPr>
                <w:b/>
                <w:i w:val="0"/>
                <w:sz w:val="18"/>
              </w:rPr>
              <w:t xml:space="preserve">MRSA (methicillin-resistant </w:t>
            </w:r>
            <w:r>
              <w:rPr>
                <w:b/>
                <w:i/>
                <w:sz w:val="18"/>
              </w:rPr>
              <w:t>Staphylococcus aureus</w:t>
            </w:r>
            <w:r>
              <w:rPr>
                <w:b/>
                <w:i w:val="0"/>
                <w:sz w:val="18"/>
              </w:rPr>
              <w:t>) most common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S. pneumoniae</w:t>
            </w:r>
            <w:r>
              <w:rPr>
                <w:b w:val="0"/>
                <w:i w:val="0"/>
                <w:sz w:val="18"/>
              </w:rPr>
              <w:t>); fungi (</w:t>
            </w:r>
            <w:r>
              <w:rPr>
                <w:b w:val="0"/>
                <w:i/>
                <w:sz w:val="18"/>
              </w:rPr>
              <w:t>Candida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Aspergillus fumigatus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Antipseudomonal cephalosporin, carbapenem or penicillin/beta-lactamase inhibitor PLUS an antipseudomonal fluoroquinolone or an aminoglycoside, PLUS vancomycin or linezolid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Must cover MRSA (methicillin-resistant </w:t>
            </w:r>
            <w:r>
              <w:rPr>
                <w:b w:val="0"/>
                <w:i/>
                <w:sz w:val="18"/>
              </w:rPr>
              <w:t>Staphylococcus aureus</w:t>
            </w:r>
            <w:r>
              <w:rPr>
                <w:b w:val="0"/>
                <w:i w:val="0"/>
                <w:sz w:val="18"/>
              </w:rPr>
              <w:t xml:space="preserve">) and </w:t>
            </w:r>
            <w:r>
              <w:rPr>
                <w:b w:val="0"/>
                <w:i/>
                <w:sz w:val="18"/>
              </w:rPr>
              <w:t>Pseudomonas</w:t>
            </w:r>
            <w:r>
              <w:rPr>
                <w:b w:val="0"/>
                <w:i w:val="0"/>
                <w:sz w:val="18"/>
              </w:rPr>
              <w:t>; do not wait for a definitive culture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20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Nosocomial, after cultures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Cultures and sensitivities are back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organism grown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Scale back coverage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switch to oral therapy</w:t>
            </w:r>
            <w:r>
              <w:rPr>
                <w:b w:val="0"/>
                <w:i w:val="0"/>
                <w:sz w:val="18"/>
              </w:rPr>
              <w:t xml:space="preserve"> when possible (cheaper)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If it fails: wrong therapy, wrong diagnosis (pulmonary embolus, neoplasm) or a complication (</w:t>
            </w:r>
            <w:r>
              <w:rPr>
                <w:b w:val="0"/>
                <w:i/>
                <w:sz w:val="18"/>
              </w:rPr>
              <w:t>C. difficile</w:t>
            </w:r>
            <w:r>
              <w:rPr>
                <w:b w:val="0"/>
                <w:i w:val="0"/>
                <w:sz w:val="18"/>
              </w:rPr>
              <w:t xml:space="preserve"> colitis, empyema, lung abscess)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Every row is checked against the slide it cites by </w:t>
      </w:r>
      <w:r>
        <w:rPr>
          <w:rFonts w:ascii="Consolas" w:hAnsi="Consolas"/>
          <w:b w:val="0"/>
          <w:i w:val="0"/>
          <w:sz w:val="18"/>
        </w:rPr>
        <w:t>tools/check_pharm_e3.py</w:t>
      </w:r>
      <w:r>
        <w:rPr>
          <w:b w:val="0"/>
          <w:i w:val="0"/>
        </w:rPr>
        <w:t xml:space="preserve"> before this page is written. 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