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Only Lectures 26, 27 and 28 have decks so far; the rest are added as they are posted.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speaker note writes the low group as “score &lt; 0” where the table says “zero or less”; this guide uses the table’s wording.</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cut-offs.</w:t>
            </w:r>
            <w:r>
              <w:rPr>
                <w:b w:val="0"/>
                <w:i w:val="0"/>
                <w:sz w:val="20"/>
              </w:rPr>
              <w:t xml:space="preserve"> The slide 28 speaker note says 0.90 or less is peripheral artery disease; the slide 30 note says compression cannot be used below 0.7. Two cut-offs on two slides,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 (pretest probability about 17%, slide 55 note)</w:t>
                  </w:r>
                </w:p>
              </w:tc>
              <w:tc>
                <w:tcPr>
                  <w:tcW w:type="dxa" w:w="4848"/>
                </w:tcPr>
                <w:p>
                  <w:pPr>
                    <w:spacing w:after="40"/>
                  </w:pPr>
                  <w:r>
                    <w:rPr>
                      <w:sz w:val="18"/>
                    </w:rPr>
                  </w:r>
                  <w:r>
                    <w:rPr>
                      <w:b/>
                      <w:i w:val="0"/>
                      <w:sz w:val="18"/>
                    </w:rPr>
                    <w:t>D-dimer</w:t>
                  </w:r>
                  <w:r>
                    <w:rPr>
                      <w:b w:val="0"/>
                      <w:i w:val="0"/>
                      <w:sz w:val="18"/>
                    </w:rPr>
                    <w:t>, then ultrasound if positive.</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(and moderate)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and only in patients whose Wells score is low or moderate.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Wells score items and the moderate band.</w:t>
      </w:r>
      <w:r>
        <w:rPr>
          <w:b w:val="0"/>
          <w:i w:val="0"/>
          <w:sz w:val="20"/>
        </w:rPr>
        <w:t xml:space="preserve"> A previously documented deep vein thrombosis adds 1 point, swelling of the entire leg adds 1 point, and recent plaster immobilization adds 1 point. A total of 1 to 2 is the moderate band, which leads to a D-dimer next; a negative D-dimer makes a deep vein thrombosis unlikely.</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it is classically contraindicated with </w:t>
      </w:r>
      <w:r>
        <w:rPr>
          <w:b/>
          <w:i w:val="0"/>
          <w:sz w:val="20"/>
        </w:rPr>
        <w:t>pacemakers</w:t>
      </w:r>
      <w:r>
        <w:rPr>
          <w:b w:val="0"/>
          <w:i w:val="0"/>
          <w:sz w:val="20"/>
        </w:rPr>
        <w:t xml:space="preserve"> and </w:t>
      </w:r>
      <w:r>
        <w:rPr>
          <w:b/>
          <w:i w:val="0"/>
          <w:sz w:val="20"/>
        </w:rPr>
        <w:t>intracranial aneurysm clips</w:t>
      </w:r>
      <w:r>
        <w:rPr>
          <w:b w:val="0"/>
          <w:i w:val="0"/>
          <w:sz w:val="20"/>
        </w:rPr>
        <w:t>, though some newer devices and clips are made safe for scanning.</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xml:space="preserve">, but current definitions rest on the absence of tissue injury rather than a time cutoff) or a stroke. Focal symptoms include weakness or paralysis, numbness or tingling on one side, trouble speaking, vision changes, and </w:t>
      </w:r>
      <w:r>
        <w:rPr>
          <w:b/>
          <w:i w:val="0"/>
          <w:sz w:val="20"/>
        </w:rPr>
        <w:t>amaurosis fugax</w:t>
      </w:r>
      <w:r>
        <w:rPr>
          <w:b w:val="0"/>
          <w:i w:val="0"/>
          <w:sz w:val="20"/>
        </w:rPr>
        <w:t xml:space="preserve"> (the speaker notes also list sudden intense headache and drowsiness, but those are not focal carotid deficits)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long-standing hypertension</w:t>
      </w:r>
      <w:r>
        <w:rPr>
          <w:b w:val="0"/>
          <w:i w:val="0"/>
          <w:sz w:val="20"/>
        </w:rPr>
        <w:t xml:space="preserve">; the underlying weakness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(the slide names medial degeneration as the most common predisposing factor).</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Hypertension (most cases; the most common predisposing factor); Marfan syndrome; medial collagen and elastin degeneration (the underlying lesion).</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Current guidelines rely on the implantable defibrillator to prevent sudden death; amiodarone is an adjunct for arrhythmias, and no randomized trial shows that it prevents sudden death. </w:t>
            </w:r>
            <w:r>
              <w:rPr>
                <w:b/>
                <w:i w:val="0"/>
                <w:sz w:val="20"/>
              </w:rPr>
              <w:t>Learn:</w:t>
            </w:r>
            <w:r>
              <w:rPr>
                <w:b w:val="0"/>
                <w:i w:val="0"/>
                <w:sz w:val="20"/>
              </w:rPr>
              <w:t xml:space="preserve"> the slide’s pairing (amiodarone and disopyramide as the antiarrhythmics, the defibrillator as the device), and do not rely on the word “proven”.</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spread by triatomine “kissing” bugs in South and Central America and Mexico);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spacing w:after="120"/>
      </w:pPr>
      <w:r>
        <w:rPr>
          <w:b/>
          <w:i w:val="0"/>
        </w:rPr>
        <w:t>Treatment is essentially that of chronic heart failure; every patient, whatever the cause, gets a beta blocker and an angiotensin-converting enzyme inhibitor</w:t>
      </w:r>
      <w:r>
        <w:rPr>
          <w:b w:val="0"/>
          <w:i w:val="0"/>
        </w:rPr>
        <w:t xml:space="preserve"> (speaker notes, slide 42).</w:t>
      </w:r>
    </w:p>
    <w:p>
      <w:pPr>
        <w:pStyle w:val="ListBullet"/>
        <w:spacing w:after="40"/>
      </w:pPr>
      <w:r>
        <w:rPr>
          <w:b/>
          <w:i w:val="0"/>
          <w:sz w:val="20"/>
        </w:rPr>
        <w:t>Drug classes:</w:t>
      </w:r>
      <w:r>
        <w:rPr>
          <w:b w:val="0"/>
          <w:i w:val="0"/>
          <w:sz w:val="20"/>
        </w:rPr>
        <w:t xml:space="preserve"> angiotensin-converting enzyme inhibitors (the criterion standard; they lower mortality; for example lisinopril); beta blockers (carvedilol, bisoprolol, metoprolol — lower mortality); angiotensin receptor blockers (losartan); aldosterone receptor blocker (spironolactone, with an angiotensin-converting enzyme inhibitor); sacubitril/valsartan; nitrates (pulmonary edema); diuretics (</w:t>
      </w:r>
      <w:r>
        <w:rPr>
          <w:b/>
          <w:i w:val="0"/>
          <w:sz w:val="20"/>
        </w:rPr>
        <w:t>loop diuretics are the mainstay</w:t>
      </w:r>
      <w:r>
        <w:rPr>
          <w:b w:val="0"/>
          <w:i w:val="0"/>
          <w:sz w:val="20"/>
        </w:rPr>
        <w:t>); antiarrhythmics (amiodarone for supraventricular and nonsustained ventricular tachycardia); anticoagulants.</w:t>
      </w:r>
    </w:p>
    <w:p>
      <w:pPr>
        <w:pStyle w:val="ListBullet"/>
        <w:spacing w:after="40"/>
      </w:pPr>
      <w:r>
        <w:rPr>
          <w:b/>
          <w:i w:val="0"/>
          <w:sz w:val="20"/>
        </w:rPr>
        <w:t>Anticoagulation only for atrial fibrillation, an artificial valve or a known mural thrombus.</w:t>
      </w:r>
    </w:p>
    <w:p>
      <w:pPr>
        <w:pStyle w:val="ListBullet"/>
        <w:spacing w:after="40"/>
      </w:pPr>
      <w:r>
        <w:rPr>
          <w:b/>
          <w:i w:val="0"/>
          <w:sz w:val="20"/>
        </w:rPr>
        <w:t>Anticoagulation in dilated cardiomyopathy.</w:t>
      </w:r>
      <w:r>
        <w:rPr>
          <w:b w:val="0"/>
          <w:i w:val="0"/>
          <w:sz w:val="20"/>
        </w:rPr>
        <w:t xml:space="preserve"> Anticoagulants should be restricted to patients in atrial fibrillation, with artificial valves or with a known mural thrombus.</w:t>
      </w:r>
    </w:p>
    <w:p>
      <w:pPr>
        <w:pStyle w:val="ListBullet"/>
        <w:spacing w:after="40"/>
      </w:pPr>
      <w:r>
        <w:rPr>
          <w:b/>
          <w:i w:val="0"/>
          <w:sz w:val="20"/>
        </w:rPr>
        <w:t>Anticoagulation in dilated cardiomyopathy.</w:t>
      </w:r>
      <w:r>
        <w:rPr>
          <w:b w:val="0"/>
          <w:i w:val="0"/>
          <w:sz w:val="20"/>
        </w:rPr>
        <w:t xml:space="preserve"> Dilated ventricles carry thromboembolic risk; a known mural thrombus is one of three indications to start anticoagulation, with atrial fibrillation and an artificial valve.</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verapamil or diltiazem</w:t>
      </w:r>
      <w:r>
        <w:rPr>
          <w:b w:val="0"/>
          <w:i w:val="0"/>
          <w:sz w:val="20"/>
        </w:rPr>
        <w:t xml:space="preserve"> are sometimes tried to lengthen filling time and improve relaxation, but they are used cautiously because these stiff hearts depend on a fast heart rate to keep output up, and verapamil and diltiazem are avoided in cardiac amyloidosis.</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As chronic heart failure: every patient gets a beta blocker and an angiotensin-converting enzyme inhibitor; loop diuretics; spironolactone; sacubitril/valsartan.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only cautiously (a fast heart rate keeps output up; avoided in cardiac amyloidosis);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