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 From Prof. Shah’s Pigmented Lesions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PATTERN — and its two exceptions</w:t>
            </w:r>
          </w:p>
        </w:tc>
        <w:tc>
          <w:tcPr>
            <w:tcW w:type="dxa" w:w="5112"/>
          </w:tcPr>
          <w:p>
            <w:pPr>
              <w:spacing w:after="40"/>
            </w:pPr>
            <w:r>
              <w:rPr>
                <w:sz w:val="18"/>
              </w:rPr>
            </w:r>
            <w:r>
              <w:rPr>
                <w:b w:val="0"/>
                <w:i w:val="0"/>
                <w:sz w:val="18"/>
              </w:rPr>
              <w:t>She teaches nearly every pigmented lesion the same way: DIAGNOSE CLINICALLY → OBSERVE → BIOPSY IF IT CHANGES in size, colour or shape. Verbatim: “I hope everyone's still REMEMBERING THE PATTERN here… there's like TWO THINGS THAT IT'S NOT LIKE THAT FOR.” The two are the ones that IMITATE MELANOMA and need tissue out WITH MARGINS: REED NAEVUS (excision with negative margins) and SPITZ (biopsy vs WIDE EXCISION — “not just removing part of the lesion but the ENTIRE AREA SURROUNDING it”). One frame for the whole lecture: WATCH THEM ALL, CUT OUT THE TWO THAT LOOK LIKE MELANOMA.</w:t>
            </w:r>
          </w:p>
        </w:tc>
      </w:tr>
      <w:tr>
        <w:tc>
          <w:tcPr>
            <w:tcW w:type="dxa" w:w="5112"/>
            <w:shd w:val="clear" w:color="auto" w:fill="F1EEEF"/>
          </w:tcPr>
          <w:p>
            <w:pPr>
              <w:spacing w:after="40"/>
            </w:pPr>
            <w:r>
              <w:rPr>
                <w:b/>
                <w:sz w:val="18"/>
              </w:rPr>
            </w:r>
            <w:r>
              <w:rPr>
                <w:b/>
                <w:i w:val="0"/>
                <w:sz w:val="18"/>
              </w:rPr>
              <w:t>Ephelides vs lentigines, her wording</w:t>
            </w:r>
          </w:p>
        </w:tc>
        <w:tc>
          <w:tcPr>
            <w:tcW w:type="dxa" w:w="5112"/>
          </w:tcPr>
          <w:p>
            <w:pPr>
              <w:spacing w:after="40"/>
            </w:pPr>
            <w:r>
              <w:rPr>
                <w:sz w:val="18"/>
              </w:rPr>
            </w:r>
            <w:r>
              <w:rPr>
                <w:b w:val="0"/>
                <w:i w:val="0"/>
                <w:sz w:val="18"/>
              </w:rPr>
              <w:t>On lentigines: “THESE DO NOT GO AWAY as sun exposure gets less and less” — “that will be one way that you will be able to DIFFERENTIATE LENTIGINES, SUNSPOTS, FROM EPHELIDES, FRECKLES.”</w:t>
            </w:r>
          </w:p>
        </w:tc>
      </w:tr>
      <w:tr>
        <w:tc>
          <w:tcPr>
            <w:tcW w:type="dxa" w:w="5112"/>
            <w:shd w:val="clear" w:color="auto" w:fill="F1EEEF"/>
          </w:tcPr>
          <w:p>
            <w:pPr>
              <w:spacing w:after="40"/>
            </w:pPr>
            <w:r>
              <w:rPr>
                <w:b/>
                <w:sz w:val="18"/>
              </w:rPr>
            </w:r>
            <w:r>
              <w:rPr>
                <w:b/>
                <w:i w:val="0"/>
                <w:sz w:val="18"/>
              </w:rPr>
              <w:t>Counselling — cryotherapy recurrence</w:t>
            </w:r>
          </w:p>
        </w:tc>
        <w:tc>
          <w:tcPr>
            <w:tcW w:type="dxa" w:w="5112"/>
          </w:tcPr>
          <w:p>
            <w:pPr>
              <w:spacing w:after="40"/>
            </w:pPr>
            <w:r>
              <w:rPr>
                <w:sz w:val="18"/>
              </w:rPr>
            </w:r>
            <w:r>
              <w:rPr>
                <w:b w:val="0"/>
                <w:i w:val="0"/>
                <w:sz w:val="18"/>
              </w:rPr>
              <w:t>Warn BEFORE you freeze a seborrhoeic keratosis that it can come back, “OTHERWISE THEY'LL BE PRETTY UPSET AT YOU.”</w:t>
            </w:r>
          </w:p>
        </w:tc>
      </w:tr>
      <w:tr>
        <w:tc>
          <w:tcPr>
            <w:tcW w:type="dxa" w:w="5112"/>
            <w:shd w:val="clear" w:color="auto" w:fill="F1EEEF"/>
          </w:tcPr>
          <w:p>
            <w:pPr>
              <w:spacing w:after="40"/>
            </w:pPr>
            <w:r>
              <w:rPr>
                <w:b/>
                <w:sz w:val="18"/>
              </w:rPr>
            </w:r>
            <w:r>
              <w:rPr>
                <w:b/>
                <w:i w:val="0"/>
                <w:sz w:val="18"/>
              </w:rPr>
              <w:t>⚠ What the recording misses</w:t>
            </w:r>
          </w:p>
        </w:tc>
        <w:tc>
          <w:tcPr>
            <w:tcW w:type="dxa" w:w="5112"/>
          </w:tcPr>
          <w:p>
            <w:pPr>
              <w:spacing w:after="40"/>
            </w:pPr>
            <w:r>
              <w:rPr>
                <w:sz w:val="18"/>
              </w:rPr>
            </w:r>
            <w:r>
              <w:rPr>
                <w:b w:val="0"/>
                <w:i w:val="0"/>
                <w:sz w:val="18"/>
              </w:rPr>
              <w:t>Starts at about SLIDE 3 OF 47 (only title + objectives lost), stops MID-SENTENCE in the practice cases, and has a TWELVE-MINUTE HOLE between its two segments, 13:44 to 13:56. That hole is exactly where SPITZ was named — which is why neither transcript contains the word. NO emphasis note on a topic does NOT mean she skipped it; the deck content is covered in full regardless.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