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i w:val="0"/>
              </w:rPr>
              <w:t>Not read yet.</w:t>
            </w:r>
            <w:r>
              <w:rPr>
                <w:b w:val="0"/>
                <w:i w:val="0"/>
              </w:rPr>
              <w:t xml:space="preserve"> A classmate’s recording of this lecture (three parts, about 2 hours 4 minutes) has arrived and is being transcribed. It came without Notability’s own transcript, so ours will be the only one, with no second opinion to compare against. Until it has been read, this section is built from the slides alone: the quizzes are weighted by slide count, and the only emphasis marked is the slide’s own (the three asterisks after </w:t>
            </w:r>
            <w:r>
              <w:rPr>
                <w:b w:val="0"/>
                <w:i/>
              </w:rPr>
              <w:t>cystic fibrosis</w:t>
            </w:r>
            <w:r>
              <w:rPr>
                <w:b w:val="0"/>
                <w:i w:val="0"/>
              </w:rPr>
              <w:t xml:space="preserve"> on slide 18, 14.3). When the recording has been read, this box will carry what Dr. Webster stressed, what she said to skip, and any correction of a slide.</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medically important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a minority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 high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The systemic and pulmonic forms carry the highest death rate</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i w:val="0"/>
        </w:rPr>
        <w:t>Why pertussis is rising again.</w:t>
      </w:r>
      <w:r>
        <w:rPr>
          <w:b w:val="0"/>
          <w:i w:val="0"/>
        </w:rPr>
        <w:t xml:space="preserve"> Case charts from 1922 to 2026 show the fall after the whole-cell vaccine and a rise since the acellular vaccine. The deck gives three threads: </w:t>
      </w:r>
      <w:r>
        <w:rPr>
          <w:b/>
          <w:i w:val="0"/>
        </w:rPr>
        <w:t>infants under 2 months are too young to be vaccinated</w:t>
      </w:r>
      <w:r>
        <w:rPr>
          <w:b w:val="0"/>
          <w:i w:val="0"/>
        </w:rPr>
        <w:t xml:space="preserve"> (they cannot get the vaccine), so incidence is highest under 1 year old (in Florida in 2023, over half of reported cases were not up to date on vaccination); the age pattern in older children and adolescents </w:t>
      </w:r>
      <w:r>
        <w:rPr>
          <w:b/>
          <w:i w:val="0"/>
        </w:rPr>
        <w:t>reflects waning immunity from childhood vaccination and the need for booster doses</w:t>
      </w:r>
      <w:r>
        <w:rPr>
          <w:b w:val="0"/>
          <w:i w:val="0"/>
        </w:rPr>
        <w:t xml:space="preserve">; and, “another possible connection”, </w:t>
      </w:r>
      <w:r>
        <w:rPr>
          <w:b/>
          <w:i w:val="0"/>
        </w:rPr>
        <w:t>pertactin</w:t>
      </w:r>
      <w:r>
        <w:rPr>
          <w:b w:val="0"/>
          <w:i w:val="0"/>
        </w:rPr>
        <w:t xml:space="preserve">, the protein that helps the bacterium adhere to airway linings and a vaccine component, is missing from </w:t>
      </w:r>
      <w:r>
        <w:rPr>
          <w:b/>
          <w:i w:val="0"/>
        </w:rPr>
        <w:t>pertactin-negative strains now developing</w:t>
      </w:r>
      <w:r>
        <w:rPr>
          <w:b w:val="0"/>
          <w:i w:val="0"/>
        </w:rPr>
        <w: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Worth reading off: Klebsiella is nonmotile and Voges-Proskauer positive; Proteus is phenylalanine and hydrogen sulfide positive; Yersinia and Shigella are both phenylalanine, citrate and motility negative, and urease splits them ( Yersinia positive).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a minority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so its colonies come up black.</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pStyle w:val="Heading2"/>
        <w:spacing w:before="200" w:after="100"/>
      </w:pPr>
      <w:r>
        <w:rPr>
          <w:rFonts w:ascii="Georgia" w:hAnsi="Georgia"/>
          <w:color w:val="1F4D2B"/>
        </w:rPr>
        <w:t>14.14 · Objective 1 — Salmonella : typhoid and the salmonelloses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val="0"/>
        </w:rPr>
        <w:t xml:space="preserve">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Opportunistic infections, mostly in </w:t>
      </w:r>
      <w:r>
        <w:rPr>
          <w:b/>
          <w:i w:val="0"/>
        </w:rPr>
        <w:t>veterinarians</w:t>
      </w:r>
      <w:r>
        <w:rPr>
          <w:b w:val="0"/>
          <w:i w:val="0"/>
        </w:rPr>
        <w:t xml:space="preserve">, but they can come from domestic animals: </w:t>
      </w:r>
      <w:r>
        <w:rPr>
          <w:b/>
          <w:i w:val="0"/>
        </w:rPr>
        <w:t>animal bites or scratches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