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deal with the fuel tankers [69, 116, 118]. (He taught adding a fuel-tanker drug above 200; under the 2018 guideline the tanker drug, a fibrate, waits for 500 or more — see 3.8.)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Adult Treatment Panel III's trigger is </w:t>
      </w:r>
      <w:r>
        <w:rPr>
          <w:b/>
          <w:i w:val="0"/>
          <w:sz w:val="20"/>
        </w:rPr>
        <w:t>2 or more</w:t>
      </w:r>
      <w:r>
        <w:rPr>
          <w:b w:val="0"/>
          <w:i w:val="0"/>
          <w:sz w:val="20"/>
        </w:rPr>
        <w:t>, as slide 28 says.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w:t>
      </w:r>
      <w:r>
        <w:rPr>
          <w:b w:val="0"/>
          <w:i w:val="0"/>
        </w:rPr>
        <w:t xml:space="preserve"> to lower the pancreatitis risk (slide 118 adds niacin; the 2018 guideline does not use niacin).</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and a fibrate).</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the 2018 cholesterol guideline says </w:t>
      </w:r>
      <w:r>
        <w:rPr>
          <w:b/>
          <w:i w:val="0"/>
          <w:sz w:val="20"/>
        </w:rPr>
        <w:t>17–21</w:t>
      </w:r>
      <w:r>
        <w:rPr>
          <w:b w:val="0"/>
          <w:i w:val="0"/>
          <w:sz w:val="20"/>
        </w:rPr>
        <w:t xml:space="preserve">.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The slide says triglyceride and calculated LDL need a 9–12 hour fast; under the 2018 guideline (the one tested) a </w:t>
      </w:r>
      <w:r>
        <w:rPr>
          <w:b/>
          <w:i w:val="0"/>
          <w:sz w:val="20"/>
        </w:rPr>
        <w:t>non-fasting full panel is acceptable for routine screening</w:t>
      </w:r>
      <w:r>
        <w:rPr>
          <w:b w:val="0"/>
          <w:i w:val="0"/>
          <w:sz w:val="20"/>
        </w:rPr>
        <w:t>, and a fasting sample is needed when triglyceride is 400 mg/dL or more. The quizzes key the 2018 version.</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the slide says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he taught vs what the 2018 guideline says.</w:t>
                  </w:r>
                  <w:r>
                    <w:rPr>
                      <w:b w:val="0"/>
                      <w:i w:val="0"/>
                    </w:rPr>
                    <w:t xml:space="preserve"> Carter taught, and emphasized more than anything else in the lecture, that once the LDL goal is reached a triglyceride still above 200 gets a fibrate or niacin (slides 116, 118). That is the older Adult Treatment Panel III rule. The 2018 AHA/ACC cholesterol guideline — the one this course tests — handles a moderately raised triglyceride (about 175–499) with </w:t>
                  </w:r>
                  <w:r>
                    <w:rPr>
                      <w:b/>
                      <w:i w:val="0"/>
                    </w:rPr>
                    <w:t>lifestyle, a search for secondary causes</w:t>
                  </w:r>
                  <w:r>
                    <w:rPr>
                      <w:b w:val="0"/>
                      <w:i w:val="0"/>
                    </w:rPr>
                    <w:t xml:space="preserve"> (diabetes, alcohol, kidney disease, hypothyroidism, drugs) </w:t>
                  </w:r>
                  <w:r>
                    <w:rPr>
                      <w:b/>
                      <w:i w:val="0"/>
                    </w:rPr>
                    <w:t>and statin intensity</w:t>
                  </w:r>
                  <w:r>
                    <w:rPr>
                      <w:b w:val="0"/>
                      <w:i w:val="0"/>
                    </w:rPr>
                    <w:t xml:space="preserve">; it reserves a </w:t>
                  </w:r>
                  <w:r>
                    <w:rPr>
                      <w:b/>
                      <w:i w:val="0"/>
                    </w:rPr>
                    <w:t>fibrate</w:t>
                  </w:r>
                  <w:r>
                    <w:rPr>
                      <w:b w:val="0"/>
                      <w:i w:val="0"/>
                    </w:rPr>
                    <w:t xml:space="preserve"> (with a very low-fat diet) for </w:t>
                  </w:r>
                  <w:r>
                    <w:rPr>
                      <w:b/>
                      <w:i w:val="0"/>
                    </w:rPr>
                    <w:t>500 mg/dL or more</w:t>
                  </w:r>
                  <w:r>
                    <w:rPr>
                      <w:b w:val="0"/>
                      <w:i w:val="0"/>
                    </w:rPr>
                    <w:t>, to prevent pancreatitis, and does not add niacin. The quizzes key the 2018 version; the order “LDL first” still stands. “Goal” is the slide’s wording from the older framework; the numeric goal tables on slides 28 and 117 are self-study.</w:t>
                  </w:r>
                </w:p>
              </w:tc>
            </w:tr>
          </w:tbl>
          <w:p/>
          <w:p>
            <w:pPr>
              <w:spacing w:after="80"/>
            </w:pP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(the course's therapeutic-lifestyle figure; Carter once said “10%”, which is the looser Dietary Guidelines limit, not an error, but learn &lt;7% here);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w:t>
      </w:r>
      <w:r>
        <w:rPr>
          <w:b w:val="0"/>
          <w:i w:val="0"/>
          <w:sz w:val="20"/>
        </w:rPr>
        <w:t xml:space="preserve">, usually alongside rheumatic mitral disease; </w:t>
      </w:r>
      <w:r>
        <w:rPr>
          <w:b/>
          <w:i w:val="0"/>
          <w:sz w:val="20"/>
        </w:rPr>
        <w:t>carcinoid disease</w:t>
      </w:r>
      <w:r>
        <w:rPr>
          <w:b w:val="0"/>
          <w:i w:val="0"/>
          <w:sz w:val="20"/>
        </w:rPr>
        <w:t xml:space="preserve"> is the other notable cause. Slide 65 says that in the United States it is “almost always congenital”; that is not accurate, since congenital tricuspid stenosis is rare.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tc>
      </w:tr>
    </w:tbl>
    <w:p>
      <w:pPr>
        <w:spacing w:after="80"/>
      </w:pPr>
    </w:p>
    <w:p>
      <w:pPr>
        <w:spacing w:after="120"/>
      </w:pPr>
      <w:r>
        <w:rPr>
          <w:b w:val="0"/>
          <w:i w:val="0"/>
        </w:rPr>
        <w:t>Slides 8–10, 17, 27–28, 38, 48, 54, 57, 63, 67, 71, 73</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carcinoid disease. (Slide 65's “congenital in the United States” is not accurate.)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percutaneous coronary intervention and plain old balloon angioplasty are different things,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the slide, his words and standard references disagree, this guide teaches what is medically true and says what was said instead (the lists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w:t>
            </w:r>
          </w:p>
          <w:p>
            <w:pPr>
              <w:pStyle w:val="ListBullet"/>
              <w:spacing w:after="40"/>
            </w:pPr>
            <w:r>
              <w:rPr>
                <w:b/>
                <w:i w:val="0"/>
                <w:sz w:val="20"/>
              </w:rPr>
              <w:t>Slide 52, “Noncompliance with DAPT in the first 6 weeks → 50% risk of Sudden Re-InStent Stenosis”</w:t>
            </w:r>
            <w:r>
              <w:rPr>
                <w:b w:val="0"/>
                <w:i w:val="0"/>
                <w:sz w:val="20"/>
              </w:rPr>
              <w:t xml:space="preserve"> (he called it “a flip of the coin”). The event is </w:t>
            </w:r>
            <w:r>
              <w:rPr>
                <w:b/>
                <w:i w:val="0"/>
                <w:sz w:val="20"/>
              </w:rPr>
              <w:t>stent thrombosis</w:t>
            </w:r>
            <w:r>
              <w:rPr>
                <w:b w:val="0"/>
                <w:i w:val="0"/>
                <w:sz w:val="20"/>
              </w:rPr>
              <w:t xml:space="preserve"> — a clot that suddenly occludes the stent — not restenosis, which is slow scar-tissue narrowing over months. Stopping dual antiplatelet therapy early is its strongest predictor, and stent thrombosis is often fatal, but no source gives a 50% risk. Learn </w:t>
            </w:r>
            <w:r>
              <w:rPr>
                <w:b/>
                <w:i w:val="0"/>
                <w:sz w:val="20"/>
              </w:rPr>
              <w:t>stopping early → sudden stent thrombosis</w:t>
            </w:r>
            <w:r>
              <w:rPr>
                <w:b w:val="0"/>
                <w:i w:val="0"/>
                <w:sz w:val="20"/>
              </w:rPr>
              <w:t>; no quiz keys a percentage.</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slides disagree — what is true, and what is not keyed</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and he is right about practice: ST-elevation infarction is recognized from the symptoms and the electrocardiogram, and reperfusion never waits for troponin, which rises later and confirms the infarct.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The accurate version (2016 ACC/AHA dual antiplatelet update): after an acute coronary syndrome the P2Y12 antagonist is given for about </w:t>
            </w:r>
            <w:r>
              <w:rPr>
                <w:b/>
                <w:i w:val="0"/>
                <w:sz w:val="20"/>
              </w:rPr>
              <w:t>12 months</w:t>
            </w:r>
            <w:r>
              <w:rPr>
                <w:b w:val="0"/>
                <w:i w:val="0"/>
                <w:sz w:val="20"/>
              </w:rPr>
              <w:t xml:space="preserve">, and aspirin is continued </w:t>
            </w:r>
            <w:r>
              <w:rPr>
                <w:b/>
                <w:i w:val="0"/>
                <w:sz w:val="20"/>
              </w:rPr>
              <w:t>indefinitely</w:t>
            </w:r>
            <w:r>
              <w:rPr>
                <w:b w:val="0"/>
                <w:i w:val="0"/>
                <w:sz w:val="20"/>
              </w:rPr>
              <w:t xml:space="preserve"> — the “minimum of 6 months” for aspirin is not accurate.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That is not accurate: </w:t>
            </w:r>
            <w:r>
              <w:rPr>
                <w:b/>
                <w:i w:val="0"/>
                <w:sz w:val="20"/>
              </w:rPr>
              <w:t>MINOCA is an infarction</w:t>
            </w:r>
            <w:r>
              <w:rPr>
                <w:b w:val="0"/>
                <w:i w:val="0"/>
                <w:sz w:val="20"/>
              </w:rPr>
              <w:t xml:space="preserve"> (troponin rise with ischemia) with non-obstructed coronaries, while </w:t>
            </w:r>
            <w:r>
              <w:rPr>
                <w:b/>
                <w:i w:val="0"/>
                <w:sz w:val="20"/>
              </w:rPr>
              <w:t>microvascular angina</w:t>
            </w:r>
            <w:r>
              <w:rPr>
                <w:b w:val="0"/>
                <w:i w:val="0"/>
                <w:sz w:val="20"/>
              </w:rPr>
              <w:t xml:space="preserve"> (cardiac syndrome X) is angina with normal coronaries </w:t>
            </w:r>
            <w:r>
              <w:rPr>
                <w:b/>
                <w:i w:val="0"/>
                <w:sz w:val="20"/>
              </w:rPr>
              <w:t>and no infarction</w:t>
            </w:r>
            <w:r>
              <w:rPr>
                <w:b w:val="0"/>
                <w:i w:val="0"/>
                <w:sz w:val="20"/>
              </w:rPr>
              <w:t>. Slide 94's “possibly even with elevated cardiac biomarkers” belongs to MINOCA.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is right:</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uses an </w:t>
            </w:r>
            <w:r>
              <w:rPr>
                <w:b/>
                <w:i w:val="0"/>
              </w:rPr>
              <w:t>artery first</w:t>
            </w:r>
            <w:r>
              <w:rPr>
                <w:b w:val="0"/>
                <w:i w:val="0"/>
              </w:rPr>
              <w:t xml:space="preserve">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raised extracellular calcium.</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infarct has a right coronary lesion.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intracellular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stress-test-induced electrocardiogram changes (</w:t>
            </w:r>
            <w:r>
              <w:rPr>
                <w:b/>
                <w:i w:val="0"/>
                <w:sz w:val="20"/>
              </w:rPr>
              <w:t>T-wave inversion usually</w:t>
            </w:r>
            <w:r>
              <w:rPr>
                <w:b w:val="0"/>
                <w:i w:val="0"/>
                <w:sz w:val="20"/>
              </w:rPr>
              <w:t xml:space="preserve">) on exercise treadmill, nuclear stress or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one dose</w:t>
            </w:r>
            <w:r>
              <w:rPr>
                <w:b w:val="0"/>
                <w:i w:val="0"/>
                <w:sz w:val="20"/>
                <w:highlight w:val="yellow"/>
              </w:rPr>
              <w:t xml:space="preserve">, or if </w:t>
            </w:r>
            <w:r>
              <w:rPr>
                <w:b/>
                <w:i w:val="0"/>
                <w:sz w:val="20"/>
                <w:highlight w:val="yellow"/>
              </w:rPr>
              <w:t>3 doses</w:t>
            </w:r>
            <w:r>
              <w:rPr>
                <w:b w:val="0"/>
                <w:i w:val="0"/>
                <w:sz w:val="20"/>
                <w:highlight w:val="yellow"/>
              </w:rPr>
              <w:t xml:space="preserve"> have failed</w:t>
            </w:r>
            <w:r>
              <w:rPr>
                <w:b w:val="0"/>
                <w:i w:val="0"/>
                <w:sz w:val="20"/>
              </w:rPr>
              <w:t xml:space="preserve"> (“if the third one didn't work, then you need to call 911”).</w:t>
            </w:r>
          </w:p>
          <w:p>
            <w:pPr>
              <w:pStyle w:val="ListBullet"/>
              <w:spacing w:after="40"/>
            </w:pPr>
            <w:r>
              <w:rPr>
                <w:b/>
                <w:i w:val="0"/>
                <w:sz w:val="20"/>
              </w:rPr>
              <w:t>Prevention of future attacks:</w:t>
            </w:r>
            <w:r>
              <w:rPr>
                <w:b w:val="0"/>
                <w:i w:val="0"/>
                <w:sz w:val="20"/>
              </w:rPr>
              <w:t xml:space="preserve"> aspirin (chronic stable angina and survivors of an acute coronary syndrome) and clopidogrel — </w:t>
            </w:r>
            <w:r>
              <w:rPr>
                <w:b/>
                <w:i w:val="0"/>
                <w:sz w:val="20"/>
              </w:rPr>
              <w:t>more effective together</w:t>
            </w:r>
            <w:r>
              <w:rPr>
                <w:b w:val="0"/>
                <w:i w:val="0"/>
                <w:sz w:val="20"/>
              </w:rPr>
              <w:t>.</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Slide 65 lists a </w:t>
            </w:r>
            <w:r>
              <w:rPr>
                <w:b/>
                <w:i w:val="0"/>
              </w:rPr>
              <w:t>new left bundle branch block</w:t>
            </w:r>
            <w:r>
              <w:rPr>
                <w:b w:val="0"/>
                <w:i w:val="0"/>
              </w:rPr>
              <w:t xml:space="preserve">, and he taught it as a STEMI equivalent (“you don't have anything to show they didn't have it before … then we consider that a STEMI”). Current guidelines no longer treat a new or presumed-new block </w:t>
            </w:r>
            <w:r>
              <w:rPr>
                <w:b w:val="0"/>
                <w:i/>
              </w:rPr>
              <w:t>alone</w:t>
            </w:r>
            <w:r>
              <w:rPr>
                <w:b w:val="0"/>
                <w:i w:val="0"/>
              </w:rPr>
              <w:t xml:space="preserve"> as a STEMI equivalent, because the block hides the ST segment: with </w:t>
            </w:r>
            <w:r>
              <w:rPr>
                <w:b/>
                <w:i w:val="0"/>
              </w:rPr>
              <w:t>ongoing ischemic pain, hypotension or heart failure</w:t>
            </w:r>
            <w:r>
              <w:rPr>
                <w:b w:val="0"/>
                <w:i w:val="0"/>
              </w:rPr>
              <w:t xml:space="preserve"> it is managed like a STEMI (catheterization team); otherwise it is judged on the rest of the picture. The quizzes key that version.</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hemorrhagic stroke in the previous year ·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Placement of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Stopping dual antiplatelet therapy in the first 6 weeks risks sudden stent thrombosis</w:t>
            </w:r>
            <w:r>
              <w:rPr>
                <w:b w:val="0"/>
                <w:i w:val="0"/>
                <w:sz w:val="20"/>
                <w:highlight w:val="yellow"/>
              </w:rPr>
              <w:t>, a clot that occludes the stent. You have to take your meds.</w:t>
            </w:r>
            <w:r>
              <w:rPr>
                <w:b w:val="0"/>
                <w:i w:val="0"/>
                <w:sz w:val="20"/>
              </w:rPr>
              <w:t xml:space="preserve"> The slide calls it a “50% risk of sudden in-stent restenosis” and he called it “a flip of the coin”; the danger is real, but the event is thrombosis and the 50% figure has no source.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used only if an artery cannot be</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vein if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when the ejection fraction is reduced; calcium channel blockers do not improve prognosis</w:t>
            </w:r>
            <w:r>
              <w:rPr>
                <w:b w:val="0"/>
                <w:i w:val="0"/>
                <w:sz w:val="20"/>
              </w:rPr>
              <w:t>. The deck says beta blockers improve survival “across the board”; that is no longer the position: the benefit is clear with a reduced ejection fraction and not established with a preserved one (REDUCE-AMI; 2025 ACC/AHA acute coronary syndrome guideline). The deck also adds that diltiazem and verapamil reduce mortality with preserved left ventricular function; that is not accurate. They have no mortality benefit after infarction: they relieve angina or control rate when a beta blocker cannot be used, and they are avoided with reduced ejection fraction or heart failure.</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clopidogrel is necessary after a stent. Slide 83 says warfarin is recommended for large anterior wall infarcts; current guidance adds warfarin only when the anterior infarct leaves an </w:t>
            </w:r>
            <w:r>
              <w:rPr>
                <w:b/>
                <w:i w:val="0"/>
                <w:sz w:val="20"/>
              </w:rPr>
              <w:t>akinetic apex</w:t>
            </w:r>
            <w:r>
              <w:rPr>
                <w:b w:val="0"/>
                <w:i w:val="0"/>
                <w:sz w:val="20"/>
              </w:rPr>
              <w:t xml:space="preserve"> (may be considered) or a </w:t>
            </w:r>
            <w:r>
              <w:rPr>
                <w:b/>
                <w:i w:val="0"/>
                <w:sz w:val="20"/>
              </w:rPr>
              <w:t>left ventricular thrombus</w:t>
            </w:r>
            <w:r>
              <w:rPr>
                <w:b w:val="0"/>
                <w:i w:val="0"/>
                <w:sz w:val="20"/>
              </w:rPr>
              <w:t>, not routinely. The quizzes key that version.</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aspirin and triptans.</w:t>
            </w:r>
          </w:p>
        </w:tc>
      </w:tr>
    </w:tbl>
    <w:p>
      <w:pPr>
        <w:spacing w:after="80"/>
      </w:pPr>
    </w:p>
    <w:p>
      <w:pPr>
        <w:spacing w:after="120"/>
      </w:pPr>
      <w:r>
        <w:rPr>
          <w:b w:val="0"/>
          <w:i w:val="0"/>
        </w:rPr>
        <w:t>Slides 87–92</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but normal coronary arteries on the angiogram</w:t>
      </w:r>
      <w:r>
        <w:rPr>
          <w:b w:val="0"/>
          <w:i w:val="0"/>
          <w:sz w:val="20"/>
        </w:rPr>
        <w:t>. (Slide 94 adds “possibly even with elevated cardiac biomarkers”; a biomarker rise means infarction, which is MINOCA, not microvascular angina.)</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Not the same thing:</w:t>
      </w:r>
      <w:r>
        <w:rPr>
          <w:b w:val="0"/>
          <w:i w:val="0"/>
        </w:rPr>
        <w:t xml:space="preserve"> the slide also names “Myocardial Infarction with Non Obstructive Coronary Arteries (MINOCA)” here, and he treated the two as the same thing seen from primary care and from cardiology. They are not: MINOCA is an infarction (troponin rise) with non-obstructed coronaries; microvascular angina has no infarction. No question asks you to separate them.</w:t>
      </w:r>
    </w:p>
    <w:p>
      <w:pPr>
        <w:spacing w:after="120"/>
      </w:pPr>
      <w:r>
        <w:rPr>
          <w:b w:val="0"/>
          <w:i w:val="0"/>
        </w:rPr>
        <w:t>Slides 93–96</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nuclear, cardiac computed tomography): changes, usually T-wave inversion. Coronary angiography is the gold standard.</w:t>
      </w:r>
      <w:r>
        <w:rPr>
          <w:b w:val="0"/>
          <w:i w:val="0"/>
        </w:rPr>
        <w:t>First-line treatment</w:t>
      </w:r>
      <w:r>
        <w:rPr>
          <w:b w:val="0"/>
          <w:i w:val="0"/>
        </w:rPr>
        <w:t>Sublingual nitroglycerin (call emergency medical services if unimproved 5 minutes after one dose or after 3 doses); lifestyle; beta blocker (calcium channel blocker if contraindicated); statin; aspirin ± clopidogrel.</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 with ongoing ischemia or instability</w:t>
      </w:r>
      <w:r>
        <w:rPr>
          <w:b w:val="0"/>
          <w:i w:val="0"/>
        </w:rPr>
        <w:t xml:space="preserve"> (the block alone is no longer enough)</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aspirin, triptans.</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normal coronaries, no infarction (a biomarker rise would mean MINOCA, which slide 94 lists here).</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right and the slip is listed below; where the deck strays from the tested 2022 guideline, the 2022 wording is taught (the table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is right both times, and matches the 2022 guideline.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