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if fuel tankers are still above 200, add a fuel-tanker measure [69, 116, 118].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so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 niacin or both.</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fibrate or niacin or both).</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so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p>
            <w:pPr>
              <w:spacing w:after="120"/>
            </w:pPr>
            <w:r>
              <w:rPr>
                <w:b w:val="0"/>
                <w:i w:val="0"/>
              </w:rPr>
              <w:t xml:space="preserve">“Goal” is the slide’s own wording from the older framework. The numeric goal tables on slides 28 and 117 are self-study; the quizzes key the </w:t>
            </w:r>
            <w:r>
              <w:rPr>
                <w:b w:val="0"/>
                <w:i/>
              </w:rPr>
              <w:t>order</w:t>
            </w:r>
            <w:r>
              <w:rPr>
                <w:b w:val="0"/>
                <w:i w:val="0"/>
              </w:rPr>
              <w:t xml:space="preserve"> (LDL, then triglyceride above 200), never a numeric goal.</w:t>
            </w: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(Carter said “10%” once; the slide wins);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 worldwide</w:t>
      </w:r>
      <w:r>
        <w:rPr>
          <w:b w:val="0"/>
          <w:i w:val="0"/>
          <w:sz w:val="20"/>
        </w:rPr>
        <w:t xml:space="preserve">; in the United States almost always </w:t>
      </w:r>
      <w:r>
        <w:rPr>
          <w:b/>
          <w:i w:val="0"/>
          <w:sz w:val="20"/>
        </w:rPr>
        <w:t>congenital</w:t>
      </w:r>
      <w:r>
        <w:rPr>
          <w:b w:val="0"/>
          <w:i w:val="0"/>
          <w:sz w:val="20"/>
        </w:rPr>
        <w:t xml:space="preserve">; carcinoid disease.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worldwide); congenital (United States); carcinoid disease.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w:t>
            </w:r>
            <w:r>
              <w:rPr>
                <w:b/>
                <w:i w:val="0"/>
                <w:highlight w:val="yellow"/>
              </w:rPr>
              <w:t>A new left bundle branch block is a STEMI equivalent</w:t>
            </w:r>
            <w:r>
              <w:rPr>
                <w:b w:val="0"/>
                <w:i w:val="0"/>
              </w:rPr>
              <w:t xml:space="preserve"> (“you don't have anything to show they didn't have it before … then we consider that a STEMI”).</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across the board; calcium channel blockers do not improve prognosis overall</w:t>
            </w:r>
            <w:r>
              <w:rPr>
                <w:b w:val="0"/>
                <w:i w:val="0"/>
                <w:sz w:val="20"/>
              </w:rPr>
              <w:t xml:space="preserve"> (diltiazem and verapamil reduce mortality only with preserved left ventricular function).</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w:t>
            </w:r>
            <w:r>
              <w:rPr>
                <w:b/>
                <w:i w:val="0"/>
                <w:sz w:val="20"/>
              </w:rPr>
              <w:t>warfarin for large anterior wall infarcts</w:t>
            </w:r>
            <w:r>
              <w:rPr>
                <w:b w:val="0"/>
                <w:i w:val="0"/>
                <w:sz w:val="20"/>
              </w:rPr>
              <w:t>; clopidogrel is necessary after a stent.</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wins both times.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