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with the same wording and timing.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one pairing she said outright you need to know, and </w:t>
            </w:r>
            <w:r>
              <w:rPr>
                <w:b/>
                <w:i w:val="0"/>
              </w:rPr>
              <w:t>six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10:14]</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34:23]</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13:13] — and of autoimmunity, </w:t>
                  </w:r>
                  <w:r>
                    <w:rPr>
                      <w:b w:val="0"/>
                      <w:i/>
                      <w:sz w:val="18"/>
                    </w:rPr>
                    <w:t>“type one is not involved in either of these.”</w:t>
                  </w:r>
                  <w:r>
                    <w:rPr>
                      <w:b w:val="0"/>
                      <w:i w:val="0"/>
                      <w:sz w:val="18"/>
                    </w:rPr>
                    <w:t xml:space="preserve"> [part 2, 21:50]</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this we associate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32:34] She repeated the pairing a minute and a half later: </w:t>
                  </w:r>
                  <w:r>
                    <w:rPr>
                      <w:b w:val="0"/>
                      <w:i/>
                      <w:sz w:val="18"/>
                    </w:rPr>
                    <w:t>“remember the T cell deficiency, you get more of fungal, viral, protozoan infections; B cell deficiency, more of the bacterial infections.”</w:t>
                  </w:r>
                  <w:r>
                    <w:rPr>
                      <w:b w:val="0"/>
                      <w:i w:val="0"/>
                      <w:sz w:val="18"/>
                    </w:rPr>
                    <w:t xml:space="preserve"> [part 2, 34:12]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(slides 63–64). The only thing in the lecture said twice and called “need to know”.</w:t>
                  </w:r>
                </w:p>
              </w:tc>
            </w:tr>
            <w:tr>
              <w:tc>
                <w:tcPr>
                  <w:tcW w:type="dxa" w:w="5112"/>
                </w:tcPr>
                <w:p>
                  <w:pPr>
                    <w:spacing w:after="40"/>
                  </w:pPr>
                  <w:r>
                    <w:rPr>
                      <w:sz w:val="18"/>
                    </w:rPr>
                  </w:r>
                  <w:r>
                    <w:rPr>
                      <w:b w:val="0"/>
                      <w:i/>
                      <w:sz w:val="18"/>
                    </w:rPr>
                    <w:t>“This is not a chart you need to memorize.”</w:t>
                  </w:r>
                  <w:r>
                    <w:rPr>
                      <w:b w:val="0"/>
                      <w:i w:val="0"/>
                      <w:sz w:val="18"/>
                    </w:rPr>
                    <w:t xml:space="preserve"> [part 1, 4:07]</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19:57]</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29:48–30:11]</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37:03]</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39:27–39:45]</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 [part 1, 43:22]</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 [part 2, 4:19]</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or more — so the first contact causes no quick rash (at most a delayed one) and later contacts react much faster. The recording explains the missing first rash by the skin having shed; that explanation is not established. [part 2, 5:32–6:22]</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 [part 1, 38:19–39:20]</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 [part 2, 18:43]</w:t>
            </w:r>
          </w:p>
          <w:p>
            <w:pPr>
              <w:pStyle w:val="ListBullet"/>
              <w:spacing w:after="40"/>
            </w:pPr>
            <w:r>
              <w:rPr>
                <w:b w:val="0"/>
                <w:i w:val="0"/>
                <w:sz w:val="20"/>
              </w:rPr>
              <w:t>“Nobody actually dies of HIV [human immunodeficiency virus]. They die of the things you catch because of the suppressed immune system.” [part 2, 35:30]</w:t>
            </w:r>
          </w:p>
          <w:p>
            <w:pPr>
              <w:spacing w:after="120"/>
            </w:pPr>
            <w:r>
              <w:rPr>
                <w:b/>
                <w:i w:val="0"/>
              </w:rPr>
              <w:t>Two slips to ignore</w:t>
            </w:r>
            <w:r>
              <w:rPr>
                <w:b w:val="0"/>
                <w:i w:val="0"/>
              </w:rPr>
              <w:t xml:space="preserve">, both now heard in </w:t>
            </w:r>
            <w:r>
              <w:rPr>
                <w:b w:val="0"/>
                <w:i/>
              </w:rPr>
              <w:t>both</w:t>
            </w:r>
            <w:r>
              <w:rPr>
                <w:b w:val="0"/>
                <w:i w:val="0"/>
              </w:rPr>
              <w:t xml:space="preserve"> transcripts, so they are what was said rather than transcription errors. She opens part 2 by calling immune complexes “a type 2 reaction” [part 2, 0:07], straight after closing part 1 with “before we start with type three”; slide 38 says type III, and it is type III. And she calls allergy “IgA mediated” [part 1, 25:47] in the late-phase sentence, then says “those new IgE” eight seconds later; slide 23 says immunoglobulin E. (IgE and IgA sound alike, so a shared mishearing cannot be ruled out; either way the answer is IgE.) Go by the slides.</w:t>
            </w: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spacing w:after="120"/>
      </w:pPr>
      <w:r>
        <w:rPr>
          <w:b w:val="0"/>
          <w:i w:val="0"/>
        </w:rPr>
        <w:t>Also tested</w:t>
      </w:r>
    </w:p>
    <w:p>
      <w:pPr>
        <w:pStyle w:val="ListBullet"/>
        <w:spacing w:after="40"/>
      </w:pPr>
      <w:r>
        <w:rPr>
          <w:b/>
          <w:i w:val="0"/>
          <w:sz w:val="20"/>
        </w:rPr>
        <w:t>Cancer and immune dysfunction.</w:t>
      </w:r>
      <w:r>
        <w:rPr>
          <w:b w:val="0"/>
          <w:i w:val="0"/>
          <w:sz w:val="20"/>
        </w:rPr>
        <w:t xml:space="preserve"> Cancer is both a cause and an effect: immune failure permits it, and the tumor then suppresses immunity. Immune surveillance normally keeps cancer in check, and successful tumors evade and actively manipulate the response once established.</w:t>
      </w:r>
    </w:p>
    <w:p>
      <w:pPr>
        <w:pStyle w:val="ListBullet"/>
        <w:spacing w:after="40"/>
      </w:pPr>
      <w:r>
        <w:rPr>
          <w:b/>
          <w:i w:val="0"/>
          <w:sz w:val="20"/>
        </w:rPr>
        <w:t>Four immunopathologies.</w:t>
      </w:r>
      <w:r>
        <w:rPr>
          <w:b w:val="0"/>
          <w:i w:val="0"/>
          <w:sz w:val="20"/>
        </w:rPr>
        <w:t xml:space="preserve"> The four categories are allergy, autoimmunity, immunodeficiency and cancer; allergy and autoimmunity are overreactions, while immunodeficiency and cancer are underreactions.</w:t>
      </w:r>
    </w:p>
    <w:p>
      <w:pPr>
        <w:pStyle w:val="Heading2"/>
        <w:spacing w:before="200" w:after="100"/>
      </w:pPr>
      <w:r>
        <w:rPr>
          <w:rFonts w:ascii="Georgia" w:hAnsi="Georgia"/>
          <w:color w:val="1F4D2B"/>
        </w:rPr>
        <w:t>7.2 · Objective 2 — The four hypersensitivities and their diseases</w:t>
      </w:r>
    </w:p>
    <w:p>
      <w:pPr>
        <w:spacing w:after="120"/>
      </w:pPr>
      <w:r>
        <w:rPr>
          <w:b w:val="0"/>
          <w:i w:val="0"/>
        </w:rPr>
        <w:t>Also tested</w:t>
      </w:r>
    </w:p>
    <w:p>
      <w:pPr>
        <w:pStyle w:val="ListBullet"/>
        <w:spacing w:after="40"/>
      </w:pPr>
      <w:r>
        <w:rPr>
          <w:b/>
          <w:i w:val="0"/>
          <w:sz w:val="20"/>
        </w:rPr>
        <w:t>Arthus reaction.</w:t>
      </w:r>
      <w:r>
        <w:rPr>
          <w:b w:val="0"/>
          <w:i w:val="0"/>
          <w:sz w:val="20"/>
        </w:rPr>
        <w:t xml:space="preserve"> It is localized dermal injury from inflamed blood vessels, a vasculitis typically following a second injection of vaccine at a site, and normally self limiting.</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people with chronic worm infections tend to have less allergic disease, for two proposed reasons: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removed (Western Europe, North America) by better sanitation and treatment, the idea is that this arm of the immune system is underused and less successfully regulated, so it may overreact to harmless things.</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to the suspected allergen (the slide lists increased basophils, but a raised basophil count is not a reliable allergy marker)</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the action of leukotrienes (the freshly made products behind the late phase reaction); the slide says it blocks their synthesis, but montelukast is a receptor blocker</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spacing w:after="120"/>
      </w:pPr>
      <w:r>
        <w:rPr>
          <w:b w:val="0"/>
          <w:i w:val="0"/>
        </w:rPr>
        <w:t>Also tested</w:t>
      </w:r>
    </w:p>
    <w:p>
      <w:pPr>
        <w:pStyle w:val="ListBullet"/>
        <w:spacing w:after="40"/>
      </w:pPr>
      <w:r>
        <w:rPr>
          <w:b/>
          <w:i w:val="0"/>
          <w:sz w:val="20"/>
        </w:rPr>
        <w:t>Familial allergy.</w:t>
      </w:r>
      <w:r>
        <w:rPr>
          <w:b w:val="0"/>
          <w:i w:val="0"/>
          <w:sz w:val="20"/>
        </w:rPr>
        <w:t xml:space="preserve"> Families inherit a generalized predisposition, the tendency rather than the particular allergen, which is why relatives may react to entirely different things. The specific allergy is not inherited.</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spacing w:after="120"/>
      </w:pPr>
      <w:r>
        <w:rPr>
          <w:b w:val="0"/>
          <w:i w:val="0"/>
        </w:rPr>
        <w:t>Also tested</w:t>
      </w:r>
    </w:p>
    <w:p>
      <w:pPr>
        <w:pStyle w:val="ListBullet"/>
        <w:spacing w:after="40"/>
      </w:pPr>
      <w:r>
        <w:rPr>
          <w:b/>
          <w:i w:val="0"/>
          <w:sz w:val="20"/>
        </w:rPr>
        <w:t>Autoimmune predisposition.</w:t>
      </w:r>
      <w:r>
        <w:rPr>
          <w:b w:val="0"/>
          <w:i w:val="0"/>
          <w:sz w:val="20"/>
        </w:rPr>
        <w:t xml:space="preserve"> Women are affected more than men, and autoimmunities also run in families.</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spacing w:after="120"/>
      </w:pPr>
      <w:r>
        <w:rPr>
          <w:b w:val="0"/>
          <w:i w:val="0"/>
        </w:rPr>
        <w:t>Also tested</w:t>
      </w:r>
    </w:p>
    <w:p>
      <w:pPr>
        <w:pStyle w:val="ListBullet"/>
        <w:spacing w:after="40"/>
      </w:pPr>
      <w:r>
        <w:rPr>
          <w:b/>
          <w:i w:val="0"/>
          <w:sz w:val="20"/>
        </w:rPr>
        <w:t>Adenosine deaminase deficiency.</w:t>
      </w:r>
      <w:r>
        <w:rPr>
          <w:b w:val="0"/>
          <w:i w:val="0"/>
          <w:sz w:val="20"/>
        </w:rPr>
        <w:t xml:space="preserve"> It causes some types of severe combined immunodeficiency, a congenital, primary defect.</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In many cancers, the more regulatory T cells in a tumor, the worse the prognosis.</w:t>
      </w:r>
    </w:p>
    <w:p>
      <w:pPr>
        <w:spacing w:after="120"/>
      </w:pPr>
      <w:r>
        <w:rPr>
          <w:b w:val="0"/>
          <w:i w:val="0"/>
        </w:rPr>
        <w:t>Also tested</w:t>
      </w:r>
    </w:p>
    <w:p>
      <w:pPr>
        <w:pStyle w:val="ListBullet"/>
        <w:spacing w:after="40"/>
      </w:pPr>
      <w:r>
        <w:rPr>
          <w:b/>
          <w:i w:val="0"/>
          <w:sz w:val="20"/>
        </w:rPr>
        <w:t>Tumor escape from natural killer cells.</w:t>
      </w:r>
      <w:r>
        <w:rPr>
          <w:b w:val="0"/>
          <w:i w:val="0"/>
          <w:sz w:val="20"/>
        </w:rPr>
        <w:t xml:space="preserve"> When tumor cells cleave a stress molecule that natural killer cells recognize and release it in soluble form, the tumor cell escapes being killed: the soluble molecule binds the killing receptor on natural killer and gamma-delta T cells.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approved for advanced melanoma (lifileucel, 2024) and still being studied in other solid tumors (the slide says in development, not yet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spacing w:after="120"/>
      </w:pPr>
      <w:r>
        <w:rPr>
          <w:b w:val="0"/>
          <w:i w:val="0"/>
        </w:rPr>
        <w:t>Also tested</w:t>
      </w:r>
    </w:p>
    <w:p>
      <w:pPr>
        <w:pStyle w:val="ListBullet"/>
        <w:spacing w:after="40"/>
      </w:pPr>
      <w:r>
        <w:rPr>
          <w:b/>
          <w:i w:val="0"/>
          <w:sz w:val="20"/>
        </w:rPr>
        <w:t>Tumor infiltrating lymphocyte therapy.</w:t>
      </w:r>
      <w:r>
        <w:rPr>
          <w:b w:val="0"/>
          <w:i w:val="0"/>
          <w:sz w:val="20"/>
        </w:rPr>
        <w:t xml:space="preserve"> It is approved for advanced melanoma (lifileucel, 2024) and still being studied in other solid tumors; these are cytotoxic T cells expanded to a therapeutic amount.</w:t>
      </w:r>
    </w:p>
    <w:p>
      <w:pPr>
        <w:pStyle w:val="ListBullet"/>
        <w:spacing w:after="40"/>
      </w:pPr>
      <w:r>
        <w:rPr>
          <w:b/>
          <w:i w:val="0"/>
          <w:sz w:val="20"/>
        </w:rPr>
        <w:t>Oncolytic viral therapy.</w:t>
      </w:r>
      <w:r>
        <w:rPr>
          <w:b w:val="0"/>
          <w:i w:val="0"/>
          <w:sz w:val="20"/>
        </w:rPr>
        <w:t xml:space="preserve"> The main challenge is that immunity may clear the virus first; only a few are approved, just one in the United States, for melanoma.</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i w:val="0"/>
              </w:rPr>
              <w:t>Two recordings, both transcripts read and compared</w:t>
            </w:r>
            <w:r>
              <w:rPr>
                <w:b w:val="0"/>
                <w:i w:val="0"/>
              </w:rPr>
              <w:t>; the quotes below appear in both. Part 1 (45 minutes) runs to the break around slide 43 (“this is a very logical place for us to pause”). Part 2 (about 11 minutes) picks up after the break and covers the rest of the deck: complement fixation, fluorescent antibodies, immunoassays, in vivo testing and viral diagnosis. The lecture is taught through laboratory anecdote and gives little exam steer — the same pattern as this lecturer’s Exam 1 lectures — so the two things it does stress are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 xml:space="preserve">Complement fixation: </w:t>
                  </w:r>
                  <w:r>
                    <w:rPr>
                      <w:b w:val="0"/>
                      <w:i/>
                      <w:sz w:val="18"/>
                    </w:rPr>
                    <w:t xml:space="preserve">“this one is absolutely backwards of what you would normally think of as a microbiology test… the most important one is gonna be the sheep’s red blood cells… </w:t>
                  </w:r>
                  <w:r>
                    <w:rPr>
                      <w:b w:val="0"/>
                      <w:i/>
                      <w:sz w:val="18"/>
                      <w:highlight w:val="yellow"/>
                    </w:rPr>
                    <w:t>if the red blood cells burst, then your test is negative</w:t>
                  </w:r>
                  <w:r>
                    <w:rPr>
                      <w:b w:val="0"/>
                      <w:i/>
                      <w:sz w:val="18"/>
                    </w:rPr>
                    <w:t>, because that means that the complement is free.”</w:t>
                  </w:r>
                  <w:r>
                    <w:rPr>
                      <w:b w:val="0"/>
                      <w:i w:val="0"/>
                      <w:sz w:val="18"/>
                    </w:rPr>
                    <w:t xml:space="preserve"> [part 2, 0:15–1:34]</w:t>
                  </w:r>
                </w:p>
              </w:tc>
              <w:tc>
                <w:tcPr>
                  <w:tcW w:type="dxa" w:w="5112"/>
                </w:tcPr>
                <w:p>
                  <w:pPr>
                    <w:spacing w:after="40"/>
                  </w:pPr>
                  <w:r>
                    <w:rPr>
                      <w:sz w:val="18"/>
                    </w:rPr>
                  </w:r>
                  <w:r>
                    <w:rPr>
                      <w:b w:val="0"/>
                      <w:i w:val="0"/>
                      <w:sz w:val="18"/>
                    </w:rPr>
                    <w:t xml:space="preserve">★ Said three ways in one minute (“backwards”, “exactly opposite or counterintuitive”, “completely backwards”). </w:t>
                  </w:r>
                  <w:r>
                    <w:rPr>
                      <w:b/>
                      <w:i w:val="0"/>
                      <w:sz w:val="18"/>
                    </w:rPr>
                    <w:t>Lysis = negative; no lysis = positive</w:t>
                  </w:r>
                  <w:r>
                    <w:rPr>
                      <w:b w:val="0"/>
                      <w:i w:val="0"/>
                      <w:sz w:val="18"/>
                    </w:rPr>
                    <w:t xml:space="preserve"> (slides 45–46, section 8.4).</w:t>
                  </w:r>
                </w:p>
              </w:tc>
            </w:tr>
            <w:tr>
              <w:tc>
                <w:tcPr>
                  <w:tcW w:type="dxa" w:w="5112"/>
                </w:tcPr>
                <w:p>
                  <w:pPr>
                    <w:spacing w:after="40"/>
                  </w:pPr>
                  <w:r>
                    <w:rPr>
                      <w:sz w:val="18"/>
                    </w:rPr>
                  </w:r>
                  <w:r>
                    <w:rPr>
                      <w:b w:val="0"/>
                      <w:i w:val="0"/>
                      <w:sz w:val="18"/>
                    </w:rPr>
                    <w:t xml:space="preserve">In vivo allergy testing: </w:t>
                  </w:r>
                  <w:r>
                    <w:rPr>
                      <w:b w:val="0"/>
                      <w:i/>
                      <w:sz w:val="18"/>
                    </w:rPr>
                    <w:t xml:space="preserve">“what you’re looking for is a fairly rapid antigen-antibody reaction. So </w:t>
                  </w:r>
                  <w:r>
                    <w:rPr>
                      <w:b w:val="0"/>
                      <w:i/>
                      <w:sz w:val="18"/>
                      <w:highlight w:val="yellow"/>
                    </w:rPr>
                    <w:t>which antibody class would be useful for allergy testing? IgE [immunoglobulin E]</w:t>
                  </w:r>
                  <w:r>
                    <w:rPr>
                      <w:b w:val="0"/>
                      <w:i/>
                      <w:sz w:val="18"/>
                    </w:rPr>
                    <w:t>… Remember, these are all good questions.”</w:t>
                  </w:r>
                  <w:r>
                    <w:rPr>
                      <w:b w:val="0"/>
                      <w:i w:val="0"/>
                      <w:sz w:val="18"/>
                    </w:rPr>
                    <w:t xml:space="preserve"> [part 2, 7:51–8:13]</w:t>
                  </w:r>
                </w:p>
              </w:tc>
              <w:tc>
                <w:tcPr>
                  <w:tcW w:type="dxa" w:w="5112"/>
                </w:tcPr>
                <w:p>
                  <w:pPr>
                    <w:spacing w:after="40"/>
                  </w:pPr>
                  <w:r>
                    <w:rPr>
                      <w:sz w:val="18"/>
                    </w:rPr>
                  </w:r>
                  <w:r>
                    <w:rPr>
                      <w:b w:val="0"/>
                      <w:i w:val="0"/>
                      <w:sz w:val="18"/>
                    </w:rPr>
                    <w:t>★ Ties slide 52–53’s skin-prick grid to Lecture 7: the wheal and flare of an allergy test is a type I, immunoglobulin E reaction (section 7). The tuberculin skin test on the same slide is the delayed, T cell (type IV) one.</w:t>
                  </w:r>
                </w:p>
              </w:tc>
            </w:tr>
            <w:tr>
              <w:tc>
                <w:tcPr>
                  <w:tcW w:type="dxa" w:w="5112"/>
                </w:tcPr>
                <w:p>
                  <w:pPr>
                    <w:spacing w:after="40"/>
                  </w:pPr>
                  <w:r>
                    <w:rPr>
                      <w:sz w:val="18"/>
                    </w:rPr>
                  </w:r>
                  <w:r>
                    <w:rPr>
                      <w:b w:val="0"/>
                      <w:i w:val="0"/>
                      <w:sz w:val="18"/>
                    </w:rPr>
                    <w:t xml:space="preserve">Fluorescent antibodies: </w:t>
                  </w:r>
                  <w:r>
                    <w:rPr>
                      <w:b w:val="0"/>
                      <w:i/>
                      <w:sz w:val="18"/>
                    </w:rPr>
                    <w:t>“you have to know a little bit beforehand about what antibody and antigen reaction you’re looking for”</w:t>
                  </w:r>
                  <w:r>
                    <w:rPr>
                      <w:b w:val="0"/>
                      <w:i w:val="0"/>
                      <w:sz w:val="18"/>
                    </w:rPr>
                    <w:t>; it needs a microscope with fluorescent optics and “a really, really dark microscope room.” [part 2, 1:38–2:36]</w:t>
                  </w:r>
                </w:p>
              </w:tc>
              <w:tc>
                <w:tcPr>
                  <w:tcW w:type="dxa" w:w="5112"/>
                </w:tcPr>
                <w:p>
                  <w:pPr>
                    <w:spacing w:after="40"/>
                  </w:pPr>
                  <w:r>
                    <w:rPr>
                      <w:sz w:val="18"/>
                    </w:rPr>
                  </w:r>
                  <w:r>
                    <w:rPr>
                      <w:b w:val="0"/>
                      <w:i w:val="0"/>
                      <w:sz w:val="18"/>
                    </w:rPr>
                    <w:t>The dye is carried by a specific (monoclonal) antibody (slide 47), so you choose it for the organism or antibody you suspect: another test that needs a hypothesis first, like the rapid strep test.</w:t>
                  </w:r>
                </w:p>
              </w:tc>
            </w:tr>
            <w:tr>
              <w:tc>
                <w:tcPr>
                  <w:tcW w:type="dxa" w:w="5112"/>
                </w:tcPr>
                <w:p>
                  <w:pPr>
                    <w:spacing w:after="40"/>
                  </w:pPr>
                  <w:r>
                    <w:rPr>
                      <w:sz w:val="18"/>
                    </w:rPr>
                  </w:r>
                  <w:r>
                    <w:rPr>
                      <w:b w:val="0"/>
                      <w:i w:val="0"/>
                      <w:sz w:val="18"/>
                    </w:rPr>
                    <w:t xml:space="preserve">Enzyme-linked immunosorbent assay: </w:t>
                  </w:r>
                  <w:r>
                    <w:rPr>
                      <w:b w:val="0"/>
                      <w:i/>
                      <w:sz w:val="18"/>
                    </w:rPr>
                    <w:t>“you can either be qualitative, yes or no, or it can be quantitative”</w:t>
                  </w:r>
                  <w:r>
                    <w:rPr>
                      <w:b w:val="0"/>
                      <w:i w:val="0"/>
                      <w:sz w:val="18"/>
                    </w:rPr>
                    <w:t xml:space="preserve">, read by a plate reader; the </w:t>
                  </w:r>
                  <w:r>
                    <w:rPr>
                      <w:b w:val="0"/>
                      <w:i/>
                      <w:sz w:val="18"/>
                    </w:rPr>
                    <w:t>“eight by twelve plates”</w:t>
                  </w:r>
                  <w:r>
                    <w:rPr>
                      <w:b w:val="0"/>
                      <w:i w:val="0"/>
                      <w:sz w:val="18"/>
                    </w:rPr>
                    <w:t xml:space="preserve"> and an eight-channel pipettor let a technician </w:t>
                  </w:r>
                  <w:r>
                    <w:rPr>
                      <w:b w:val="0"/>
                      <w:i/>
                      <w:sz w:val="18"/>
                    </w:rPr>
                    <w:t>“run through a lot of samples very, very quickly”</w:t>
                  </w:r>
                  <w:r>
                    <w:rPr>
                      <w:b w:val="0"/>
                      <w:i w:val="0"/>
                      <w:sz w:val="18"/>
                    </w:rPr>
                    <w:t xml:space="preserve">; </w:t>
                  </w:r>
                  <w:r>
                    <w:rPr>
                      <w:b w:val="0"/>
                      <w:i/>
                      <w:sz w:val="18"/>
                    </w:rPr>
                    <w:t>“valuable for detecting HIV [human immunodeficiency virus].”</w:t>
                  </w:r>
                  <w:r>
                    <w:rPr>
                      <w:b w:val="0"/>
                      <w:i w:val="0"/>
                      <w:sz w:val="18"/>
                    </w:rPr>
                    <w:t xml:space="preserve"> [part 2, 3:24–6:53]</w:t>
                  </w:r>
                </w:p>
              </w:tc>
              <w:tc>
                <w:tcPr>
                  <w:tcW w:type="dxa" w:w="5112"/>
                </w:tcPr>
                <w:p>
                  <w:pPr>
                    <w:spacing w:after="40"/>
                  </w:pPr>
                  <w:r>
                    <w:rPr>
                      <w:sz w:val="18"/>
                    </w:rPr>
                  </w:r>
                  <w:r>
                    <w:rPr>
                      <w:b w:val="0"/>
                      <w:i w:val="0"/>
                      <w:sz w:val="18"/>
                    </w:rPr>
                    <w:t>Slide 50’s 96-well plates and 8-channel pipettors are the point: throughput. The plate on slide 51 is a human immunodeficiency virus antibody screen.</w:t>
                  </w:r>
                </w:p>
              </w:tc>
            </w:tr>
            <w:tr>
              <w:tc>
                <w:tcPr>
                  <w:tcW w:type="dxa" w:w="5112"/>
                </w:tcPr>
                <w:p>
                  <w:pPr>
                    <w:spacing w:after="40"/>
                  </w:pPr>
                  <w:r>
                    <w:rPr>
                      <w:sz w:val="18"/>
                    </w:rPr>
                  </w:r>
                  <w:r>
                    <w:rPr>
                      <w:b w:val="0"/>
                      <w:i w:val="0"/>
                      <w:sz w:val="18"/>
                    </w:rPr>
                    <w:t xml:space="preserve">Viruses: </w:t>
                  </w:r>
                  <w:r>
                    <w:rPr>
                      <w:b w:val="0"/>
                      <w:i/>
                      <w:sz w:val="18"/>
                    </w:rPr>
                    <w:t>“very difficult to grow in the lab. It might require human tissue culture. It might require animal tissue culture”</w:t>
                  </w:r>
                  <w:r>
                    <w:rPr>
                      <w:b w:val="0"/>
                      <w:i w:val="0"/>
                      <w:sz w:val="18"/>
                    </w:rPr>
                    <w:t xml:space="preserve">; rapid point-of-care kits give an answer in </w:t>
                  </w:r>
                  <w:r>
                    <w:rPr>
                      <w:b w:val="0"/>
                      <w:i/>
                      <w:sz w:val="18"/>
                    </w:rPr>
                    <w:t>“10 minutes or less”</w:t>
                  </w:r>
                  <w:r>
                    <w:rPr>
                      <w:b w:val="0"/>
                      <w:i w:val="0"/>
                      <w:sz w:val="18"/>
                    </w:rPr>
                    <w:t xml:space="preserve"> — strep, influenza A, COVID [coronavirus disease 2019]. [part 2, 8:15–9:11]</w:t>
                  </w:r>
                </w:p>
              </w:tc>
              <w:tc>
                <w:tcPr>
                  <w:tcW w:type="dxa" w:w="5112"/>
                </w:tcPr>
                <w:p>
                  <w:pPr>
                    <w:spacing w:after="40"/>
                  </w:pPr>
                  <w:r>
                    <w:rPr>
                      <w:sz w:val="18"/>
                    </w:rPr>
                  </w:r>
                  <w:r>
                    <w:rPr>
                      <w:b w:val="0"/>
                      <w:i w:val="0"/>
                      <w:sz w:val="18"/>
                    </w:rPr>
                    <w:t>Slide 54: viruses are not cells and need a host cell, so culture is labor intensive and rapid antigen-antibody tests fill the gap. (The rapid strep test in her list detects a bacterium; it is there as the familiar example of the format.) The deoxyribonucleic acid and ribonucleic acid virus lectures themselves are the last two of the semester, not this exam [9:18].</w:t>
                  </w:r>
                </w:p>
              </w:tc>
            </w:tr>
          </w:tbl>
          <w:p/>
          <w:p>
            <w:pPr>
              <w:spacing w:after="80"/>
            </w:pPr>
          </w:p>
          <w:p>
            <w:pPr>
              <w:spacing w:after="120"/>
            </w:pPr>
            <w:r>
              <w:rPr>
                <w:b/>
                <w:i w:val="0"/>
              </w:rPr>
              <w:t>Where the slide is wrong — chocolate agar:</w:t>
            </w:r>
            <w:r>
              <w:rPr>
                <w:b w:val="0"/>
                <w:i w:val="0"/>
              </w:rPr>
              <w:t xml:space="preserve"> slide 18 and the recording both say chocolate agar is “mainly used for anaerobic culturing.” It is not an anaerobic medium. It is an </w:t>
            </w:r>
            <w:r>
              <w:rPr>
                <w:b/>
                <w:i w:val="0"/>
              </w:rPr>
              <w:t>enriched</w:t>
            </w:r>
            <w:r>
              <w:rPr>
                <w:b w:val="0"/>
                <w:i w:val="0"/>
              </w:rPr>
              <w:t xml:space="preserve"> medium for fastidious organisms such as </w:t>
            </w:r>
            <w:r>
              <w:rPr>
                <w:b w:val="0"/>
                <w:i/>
              </w:rPr>
              <w:t>Neisseria</w:t>
            </w:r>
            <w:r>
              <w:rPr>
                <w:b w:val="0"/>
                <w:i w:val="0"/>
              </w:rPr>
              <w:t xml:space="preserve">, usually incubated in </w:t>
            </w:r>
            <w:r>
              <w:rPr>
                <w:b/>
                <w:i w:val="0"/>
              </w:rPr>
              <w:t>extra carbon dioxide</w:t>
            </w:r>
            <w:r>
              <w:rPr>
                <w:b w:val="0"/>
                <w:i w:val="0"/>
              </w:rPr>
              <w:t xml:space="preserve"> — the candle jar the lecturer goes on to describe, and what the Lecture 9 deck says (slide 57; section 9.11). Anaerobes need oxygen excluded altogether. No question keys “anaerobic” for chocolate agar.</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faster than hunting for the microbe itself (the slide also says more accurate, but a negative rapid test can still miss infection): the rapid strep test takes </w:t>
      </w:r>
      <w:r>
        <w:rPr>
          <w:b/>
          <w:i w:val="0"/>
        </w:rPr>
        <w:t>10–15 minutes</w:t>
      </w:r>
      <w:r>
        <w:rPr>
          <w:b w:val="0"/>
          <w:i w:val="0"/>
        </w:rPr>
        <w:t xml:space="preserve"> — but you need a hypothesis first to choose the test (fever, sore throat and pus pockets on the tonsils suggest strep throat).</w:t>
      </w:r>
    </w:p>
    <w:p>
      <w:pPr>
        <w:spacing w:after="120"/>
      </w:pPr>
      <w:r>
        <w:rPr>
          <w:b w:val="0"/>
          <w:i w:val="0"/>
        </w:rPr>
        <w:t>Also tested</w:t>
      </w:r>
    </w:p>
    <w:p>
      <w:pPr>
        <w:pStyle w:val="ListBullet"/>
        <w:spacing w:after="40"/>
      </w:pPr>
      <w:r>
        <w:rPr>
          <w:b/>
          <w:i w:val="0"/>
          <w:sz w:val="20"/>
        </w:rPr>
        <w:t>Rapid immunological tests.</w:t>
      </w:r>
      <w:r>
        <w:rPr>
          <w:b w:val="0"/>
          <w:i w:val="0"/>
          <w:sz w:val="20"/>
        </w:rPr>
        <w:t xml:space="preserve"> You need a hypothesis to target it: fever, sore throat and pus-pockets on the tonsils lead you to suspect strep throat, and only then does the rapid test answer the question.</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spacing w:after="120"/>
      </w:pPr>
      <w:r>
        <w:rPr>
          <w:b w:val="0"/>
          <w:i w:val="0"/>
        </w:rPr>
        <w:t>Also tested</w:t>
      </w:r>
    </w:p>
    <w:p>
      <w:pPr>
        <w:pStyle w:val="ListBullet"/>
        <w:spacing w:after="40"/>
      </w:pPr>
      <w:r>
        <w:rPr>
          <w:b/>
          <w:i w:val="0"/>
          <w:sz w:val="20"/>
        </w:rPr>
        <w:t>Genotypic methods.</w:t>
      </w:r>
      <w:r>
        <w:rPr>
          <w:b w:val="0"/>
          <w:i w:val="0"/>
          <w:sz w:val="20"/>
        </w:rPr>
        <w:t xml:space="preserve"> Their major practical advantage is that culture is not necessary. This matters most for slow-growing organisms such as Mycobacterium and difficult ones such as Legionella, since the delay of culture is avoided entirely.</w:t>
      </w: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for their antigens, so these methods can tell close relatives apart, and they are also very sensitive, able to detect small amounts.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spacing w:after="120"/>
      </w:pPr>
      <w:r>
        <w:rPr>
          <w:b w:val="0"/>
          <w:i w:val="0"/>
        </w:rPr>
        <w:t>Also tested</w:t>
      </w:r>
    </w:p>
    <w:p>
      <w:pPr>
        <w:pStyle w:val="ListBullet"/>
        <w:spacing w:after="40"/>
      </w:pPr>
      <w:r>
        <w:rPr>
          <w:b/>
          <w:i w:val="0"/>
          <w:sz w:val="20"/>
        </w:rPr>
        <w:t>Serological test reactions.</w:t>
      </w:r>
      <w:r>
        <w:rPr>
          <w:b w:val="0"/>
          <w:i w:val="0"/>
          <w:sz w:val="20"/>
        </w:rPr>
        <w:t xml:space="preserve"> They can produce precipitates, color change, radioactivity, and report not only presence but amount, the titre, often given in binding antibody units.</w:t>
      </w:r>
    </w:p>
    <w:p>
      <w:pPr>
        <w:pStyle w:val="ListBullet"/>
        <w:spacing w:after="40"/>
      </w:pPr>
      <w:r>
        <w:rPr>
          <w:b/>
          <w:i w:val="0"/>
          <w:sz w:val="20"/>
        </w:rPr>
        <w:t>Agglutination tests.</w:t>
      </w:r>
      <w:r>
        <w:rPr>
          <w:b w:val="0"/>
          <w:i w:val="0"/>
          <w:sz w:val="20"/>
        </w:rPr>
        <w:t xml:space="preserve"> The Weil-Felix test for rickettsial diseases uses agglutination, alongside blood typing, rapid syphilis diagnosis, cold agglutinin for mycoplasmas and the latex-agglutination pregnancy test.</w:t>
      </w:r>
    </w:p>
    <w:p>
      <w:pPr>
        <w:pStyle w:val="ListBullet"/>
        <w:spacing w:after="40"/>
      </w:pPr>
      <w:r>
        <w:rPr>
          <w:b/>
          <w:i w:val="0"/>
          <w:sz w:val="20"/>
        </w:rPr>
        <w:t>Serology.</w:t>
      </w:r>
      <w:r>
        <w:rPr>
          <w:b w:val="0"/>
          <w:i w:val="0"/>
          <w:sz w:val="20"/>
        </w:rPr>
        <w:t xml:space="preserve"> Serology is in vitro diagnostic testing of serum samples. Because antibodies have extreme specificity for antigens, these methods can tell close relatives apart, and they are also very sensitive, able to detect small amounts.</w:t>
      </w:r>
    </w:p>
    <w:p>
      <w:pPr>
        <w:pStyle w:val="ListBullet"/>
        <w:spacing w:after="40"/>
      </w:pPr>
      <w:r>
        <w:rPr>
          <w:b/>
          <w:i w:val="0"/>
          <w:sz w:val="20"/>
        </w:rPr>
        <w:t>Agglutination testing.</w:t>
      </w:r>
      <w:r>
        <w:rPr>
          <w:b w:val="0"/>
          <w:i w:val="0"/>
          <w:sz w:val="20"/>
        </w:rPr>
        <w:t xml:space="preserve"> It detects whole-cell or insoluble antigens, which antibody cross-links into complexes that settle out as large visible clumps, generally sinking to the bottom of the container.</w:t>
      </w:r>
    </w:p>
    <w:p>
      <w:pPr>
        <w:pStyle w:val="ListBullet"/>
        <w:spacing w:after="40"/>
      </w:pPr>
      <w:r>
        <w:rPr>
          <w:b/>
          <w:i w:val="0"/>
          <w:sz w:val="20"/>
        </w:rPr>
        <w:t>Agglutination clumps.</w:t>
      </w:r>
      <w:r>
        <w:rPr>
          <w:b w:val="0"/>
          <w:i w:val="0"/>
          <w:sz w:val="20"/>
        </w:rPr>
        <w:t xml:space="preserve"> They settle to the bottom of the container, which makes the result visible without instrumentation and lets the test run on a card or slide.</w:t>
      </w: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Long used as the </w:t>
            </w:r>
            <w:r>
              <w:rPr>
                <w:b/>
                <w:i w:val="0"/>
                <w:sz w:val="18"/>
              </w:rPr>
              <w:t>second test to confirm human immunodeficiency virus status</w:t>
            </w:r>
            <w:r>
              <w:rPr>
                <w:b w:val="0"/>
                <w:i w:val="0"/>
                <w:sz w:val="18"/>
              </w:rPr>
              <w:t>, though current United States guidance has replaced it with a second immunoassay and nucleic acid testing; also used in testing for bovine spongiform encephalopathy and Lyme disease</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spacing w:after="120"/>
      </w:pPr>
      <w:r>
        <w:rPr>
          <w:b w:val="0"/>
          <w:i w:val="0"/>
        </w:rPr>
        <w:t>Also tested</w:t>
      </w:r>
    </w:p>
    <w:p>
      <w:pPr>
        <w:pStyle w:val="ListBullet"/>
        <w:spacing w:after="40"/>
      </w:pPr>
      <w:r>
        <w:rPr>
          <w:b/>
          <w:i w:val="0"/>
          <w:sz w:val="20"/>
        </w:rPr>
        <w:t>Northern blot.</w:t>
      </w:r>
      <w:r>
        <w:rPr>
          <w:b w:val="0"/>
          <w:i w:val="0"/>
          <w:sz w:val="20"/>
        </w:rPr>
        <w:t xml:space="preserve"> It is used to study gene expression by detecting RNA, and is useful in the study of oncogenes and in rejection of transplanted organs.</w:t>
      </w:r>
    </w:p>
    <w:p>
      <w:pPr>
        <w:pStyle w:val="ListBullet"/>
        <w:spacing w:after="40"/>
      </w:pPr>
      <w:r>
        <w:rPr>
          <w:b/>
          <w:i w:val="0"/>
          <w:sz w:val="20"/>
        </w:rPr>
        <w:t>Western blot.</w:t>
      </w:r>
      <w:r>
        <w:rPr>
          <w:b w:val="0"/>
          <w:i w:val="0"/>
          <w:sz w:val="20"/>
        </w:rPr>
        <w:t xml:space="preserve"> It was long used as the second test to confirm human immunodeficiency virus (HIV) status, though current United States guidance has replaced it with a second immunoassay and nucleic acid testing; it is also used in testing for bovine spongiform encephalopathy and Lyme disease.</w:t>
      </w:r>
    </w:p>
    <w:p>
      <w:pPr>
        <w:pStyle w:val="ListBullet"/>
        <w:spacing w:after="40"/>
      </w:pPr>
      <w:r>
        <w:rPr>
          <w:b/>
          <w:i w:val="0"/>
          <w:sz w:val="20"/>
        </w:rPr>
        <w:t>Original electrophoretic blotting.</w:t>
      </w:r>
      <w:r>
        <w:rPr>
          <w:b w:val="0"/>
          <w:i w:val="0"/>
          <w:sz w:val="20"/>
        </w:rPr>
        <w:t xml:space="preserve"> It was invented by Edwin Southern, around 1975, to detect specific DNA sequences in DNA samples; the Northern, Western and Eastern blots all take their names from his.</w:t>
      </w:r>
    </w:p>
    <w:p>
      <w:pPr>
        <w:pStyle w:val="ListBullet"/>
        <w:spacing w:after="40"/>
      </w:pPr>
      <w:r>
        <w:rPr>
          <w:b/>
          <w:i w:val="0"/>
          <w:sz w:val="20"/>
        </w:rPr>
        <w:t>In vivo testing.</w:t>
      </w:r>
      <w:r>
        <w:rPr>
          <w:b w:val="0"/>
          <w:i w:val="0"/>
          <w:sz w:val="20"/>
        </w:rPr>
        <w:t xml:space="preserve"> Unlike serology, antigen is introduced directly into the body to determine the presence or absence of antibodies; the tuberculin skin test and allergy testing are the named examples.</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 xml:space="preserve">The slide says “mainly used for anaerobic culturing”; in fact an </w:t>
            </w:r>
            <w:r>
              <w:rPr>
                <w:b/>
                <w:i w:val="0"/>
                <w:sz w:val="18"/>
              </w:rPr>
              <w:t>enriched</w:t>
            </w:r>
            <w:r>
              <w:rPr>
                <w:b w:val="0"/>
                <w:i w:val="0"/>
                <w:sz w:val="18"/>
              </w:rPr>
              <w:t xml:space="preserve"> medium for fastidious organisms, grown in </w:t>
            </w:r>
            <w:r>
              <w:rPr>
                <w:b/>
                <w:i w:val="0"/>
                <w:sz w:val="18"/>
              </w:rPr>
              <w:t>extra carbon dioxide</w:t>
            </w:r>
            <w:r>
              <w:rPr>
                <w:b w:val="0"/>
                <w:i w:val="0"/>
                <w:sz w:val="18"/>
              </w:rPr>
              <w:t xml:space="preserve"> (candle jar), not anaerobically (see the recording box above and section 9.11)</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val="0"/>
          <w:i w:val="0"/>
        </w:rPr>
        <w:t>Replication, the last part of this objective, appears once: viruses cannot be cultured like bacteria because they replicate only inside a specific host cell (slide 54).</w:t>
      </w:r>
    </w:p>
    <w:p>
      <w:pPr>
        <w:spacing w:after="120"/>
      </w:pPr>
      <w:r>
        <w:rPr>
          <w:b w:val="0"/>
          <w:i w:val="0"/>
        </w:rPr>
        <w:t>Also tested</w:t>
      </w:r>
    </w:p>
    <w:p>
      <w:pPr>
        <w:pStyle w:val="ListBullet"/>
        <w:spacing w:after="40"/>
      </w:pPr>
      <w:r>
        <w:rPr>
          <w:b/>
          <w:i w:val="0"/>
          <w:sz w:val="20"/>
        </w:rPr>
        <w:t>Simmons citrate medium.</w:t>
      </w:r>
      <w:r>
        <w:rPr>
          <w:b w:val="0"/>
          <w:i w:val="0"/>
          <w:sz w:val="20"/>
        </w:rPr>
        <w:t xml:space="preserve"> A blue color indicates a rising pH, reported by the bromthymol blue indicator, because citrate utilization drives the pH up.</w:t>
      </w:r>
    </w:p>
    <w:p>
      <w:pPr>
        <w:pStyle w:val="ListBullet"/>
        <w:spacing w:after="40"/>
      </w:pPr>
      <w:r>
        <w:rPr>
          <w:b/>
          <w:i w:val="0"/>
          <w:sz w:val="20"/>
        </w:rPr>
        <w:t>Macroscopic morphology.</w:t>
      </w:r>
      <w:r>
        <w:rPr>
          <w:b w:val="0"/>
          <w:i w:val="0"/>
          <w:sz w:val="20"/>
        </w:rPr>
        <w:t xml:space="preserve"> It assesses colony appearance on culture media, including texture, size, shape, pigment and growth requirements, all observed with the naked eye rather than under the microscope.</w:t>
      </w:r>
    </w:p>
    <w:p>
      <w:pPr>
        <w:pStyle w:val="ListBullet"/>
        <w:spacing w:after="40"/>
      </w:pPr>
      <w:r>
        <w:rPr>
          <w:b/>
          <w:i w:val="0"/>
          <w:sz w:val="20"/>
        </w:rPr>
        <w:t>Immediate direct examination.</w:t>
      </w:r>
      <w:r>
        <w:rPr>
          <w:b w:val="0"/>
          <w:i w:val="0"/>
          <w:sz w:val="20"/>
        </w:rPr>
        <w:t xml:space="preserve"> The Gram stain and acid-fast stain are named for it, together with direct fluorescent antibody and direct antigen testing, which report before anything has been cultured.</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spacing w:after="120"/>
      </w:pPr>
      <w:r>
        <w:rPr>
          <w:b w:val="0"/>
          <w:i w:val="0"/>
        </w:rPr>
        <w:t>Also tested</w:t>
      </w:r>
    </w:p>
    <w:p>
      <w:pPr>
        <w:pStyle w:val="ListBullet"/>
        <w:spacing w:after="40"/>
      </w:pPr>
      <w:r>
        <w:rPr>
          <w:b/>
          <w:i w:val="0"/>
          <w:sz w:val="20"/>
        </w:rPr>
        <w:t>Phenotypic methods.</w:t>
      </w:r>
      <w:r>
        <w:rPr>
          <w:b w:val="0"/>
          <w:i w:val="0"/>
          <w:sz w:val="20"/>
        </w:rPr>
        <w:t xml:space="preserve"> They may take longer to reach a diagnosis because the microbes must be cultured: observable characteristics, biochemical reactions and sensitivity testing all depend on having grown the organism first.</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shows </w:t>
      </w:r>
      <w:r>
        <w:rPr>
          <w:b/>
          <w:i w:val="0"/>
        </w:rPr>
        <w:t>which drugs the microbe is susceptible or resistant to</w:t>
      </w:r>
      <w:r>
        <w:rPr>
          <w:b w:val="0"/>
          <w:i w:val="0"/>
        </w:rPr>
        <w:t xml:space="preserve"> (the slide also says it gives the dose and usable combinations, but the dose comes from pharmacology and, for a dilution test, the minimum inhibitory concentration). For a given drug, </w:t>
      </w:r>
      <w:r>
        <w:rPr>
          <w:b/>
          <w:i w:val="0"/>
        </w:rPr>
        <w:t>a larger zone of inhibition</w:t>
      </w:r>
      <w:r>
        <w:rPr>
          <w:b w:val="0"/>
          <w:i w:val="0"/>
        </w:rPr>
        <w:t xml:space="preserve"> means the microbe is more susceptible to it; zones of different drugs cannot be ranked against each other. </w:t>
      </w:r>
      <w:r>
        <w:rPr>
          <w:b/>
          <w:i w:val="0"/>
        </w:rPr>
        <w:t>Minimum inhibitory concentration (MIC)</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spacing w:after="120"/>
      </w:pPr>
      <w:r>
        <w:rPr>
          <w:b w:val="0"/>
          <w:i w:val="0"/>
        </w:rPr>
        <w:t>Also tested</w:t>
      </w:r>
    </w:p>
    <w:p>
      <w:pPr>
        <w:pStyle w:val="ListBullet"/>
        <w:spacing w:after="40"/>
      </w:pPr>
      <w:r>
        <w:rPr>
          <w:b/>
          <w:i w:val="0"/>
          <w:sz w:val="20"/>
        </w:rPr>
        <w:t>Zone of inhibition.</w:t>
      </w:r>
      <w:r>
        <w:rPr>
          <w:b w:val="0"/>
          <w:i w:val="0"/>
          <w:sz w:val="20"/>
        </w:rPr>
        <w:t xml:space="preserve"> For a given drug, a larger zone means the microbe is more susceptible to it (zones of different drugs cannot be ranked against each other); minimum inhibitory concentration strips give the same information as a concentration, the lowest level that stops growth.</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p>
      <w:pPr>
        <w:pStyle w:val="Heading1"/>
        <w:spacing w:before="280" w:after="100"/>
      </w:pPr>
      <w:r>
        <w:rPr>
          <w:rFonts w:ascii="Georgia" w:hAnsi="Georgia"/>
          <w:color w:val="1F4D2B"/>
        </w:rPr>
        <w:t>9 · Cocci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and methods of treatment, and prevention of cocci of medical importance.</w:t>
            </w:r>
          </w:p>
          <w:p>
            <w:pPr>
              <w:pStyle w:val="ListNumber"/>
              <w:spacing w:after="40"/>
            </w:pPr>
            <w:r>
              <w:rPr>
                <w:b w:val="0"/>
                <w:i w:val="0"/>
                <w:sz w:val="20"/>
              </w:rPr>
              <w:t>Describe the modes of transmission by which humans acquire cocci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objectives, fifteen organisms.</w:t>
            </w:r>
            <w:r>
              <w:rPr>
                <w:b w:val="0"/>
                <w:i w:val="0"/>
              </w:rPr>
              <w:t xml:space="preserve"> The syllabus heads this lecture “Cocci of Medical Importance – see Appendix 2 for full list of organisms”, and that appendix names them: </w:t>
            </w:r>
            <w:r>
              <w:rPr>
                <w:b w:val="0"/>
                <w:i/>
              </w:rPr>
              <w:t>Staphylococcus aureus, Staphylococcus epidermidis, Staphylococcus hominis, Staphylococcus capitis, Staphylococcus saprophyticus, Streptococcus pyogenes, Streptococcus agalactiae</w:t>
            </w:r>
            <w:r>
              <w:rPr>
                <w:b w:val="0"/>
                <w:i w:val="0"/>
              </w:rPr>
              <w:t xml:space="preserve">, the </w:t>
            </w:r>
            <w:r>
              <w:rPr>
                <w:b w:val="0"/>
                <w:i/>
              </w:rPr>
              <w:t>viridans streptococci, Streptococcus pneumoniae, Enterococcus faecalis</w:t>
            </w:r>
            <w:r>
              <w:rPr>
                <w:b w:val="0"/>
                <w:i w:val="0"/>
              </w:rPr>
              <w:t xml:space="preserve"> (Gram-positive) and </w:t>
            </w:r>
            <w:r>
              <w:rPr>
                <w:b w:val="0"/>
                <w:i/>
              </w:rPr>
              <w:t>Neisseria gonorrhoeae, Neisseria meningitidis, Branhamella, Moraxella, Acinetobacter baumanii</w:t>
            </w:r>
            <w:r>
              <w:rPr>
                <w:b w:val="0"/>
                <w:i w:val="0"/>
              </w:rPr>
              <w:t xml:space="preserve"> (Gram-negative). Objective 1 is answered organism by organism in 9.1–9.9; objective 2, transmission, is drawn together in one table in 9.10. Branhamella and Moraxella are one organism: </w:t>
            </w:r>
            <w:r>
              <w:rPr>
                <w:b w:val="0"/>
                <w:i/>
              </w:rPr>
              <w:t>Branhamella catarrhalis</w:t>
            </w:r>
            <w:r>
              <w:rPr>
                <w:b w:val="0"/>
                <w:i w:val="0"/>
              </w:rPr>
              <w:t xml:space="preserve"> was reclassified into </w:t>
            </w:r>
            <w:r>
              <w:rPr>
                <w:b w:val="0"/>
                <w:i/>
              </w:rPr>
              <w:t>Moraxella</w:t>
            </w:r>
            <w:r>
              <w:rPr>
                <w:b w:val="0"/>
                <w:i w:val="0"/>
              </w:rPr>
              <w:t xml:space="preserve">. </w:t>
            </w:r>
            <w:r>
              <w:rPr>
                <w:b/>
                <w:i w:val="0"/>
              </w:rPr>
              <w:t>Learn the decision tree in 9.1 first</w:t>
            </w:r>
            <w:r>
              <w:rPr>
                <w:b w:val="0"/>
                <w:i w:val="0"/>
              </w:rPr>
              <w:t xml:space="preserve"> — Gram stain, catalase, coagulase, hemolysis, then bacitracin or optochin — and every Gram-positive organism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59 minutes with Dr. Fair, one recording covering every slide. </w:t>
            </w:r>
            <w:r>
              <w:rPr>
                <w:b/>
                <w:i w:val="0"/>
              </w:rPr>
              <w:t>Both transcripts read and compared</w:t>
            </w:r>
            <w:r>
              <w:rPr>
                <w:b w:val="0"/>
                <w:i w:val="0"/>
              </w:rPr>
              <w:t xml:space="preserve"> (Notability’s own and an independent local transcription, which agree word for word on 97% of the text); </w:t>
            </w:r>
            <w:r>
              <w:rPr>
                <w:b/>
                <w:i w:val="0"/>
              </w:rPr>
              <w:t>every quote below appears in both</w:t>
            </w:r>
            <w:r>
              <w:rPr>
                <w:b w:val="0"/>
                <w:i w:val="0"/>
              </w:rPr>
              <w:t>. The deck names no lecturer; the calendar names Dr. Fair, and the recording is plainly not Dr. Webster’s (“with Dr. Webster earlier, you had the gram-positive rods”, 32:08).</w:t>
            </w:r>
          </w:p>
          <w:p>
            <w:pPr>
              <w:spacing w:after="120"/>
            </w:pPr>
            <w:r>
              <w:rPr>
                <w:b/>
                <w:i w:val="0"/>
              </w:rPr>
              <w:t>The emphasis is on the slides themselves.</w:t>
            </w:r>
            <w:r>
              <w:rPr>
                <w:b w:val="0"/>
                <w:i w:val="0"/>
              </w:rPr>
              <w:t xml:space="preserve"> She opened with </w:t>
            </w:r>
            <w:r>
              <w:rPr>
                <w:b w:val="0"/>
                <w:i/>
              </w:rPr>
              <w:t>“I tried to highlight some things just for funsies”</w:t>
            </w:r>
            <w:r>
              <w:rPr>
                <w:b w:val="0"/>
                <w:i w:val="0"/>
              </w:rPr>
              <w:t xml:space="preserve"> [0:28]: fourteen passages on fourteen slides are highlighted in yellow in the deck, and each one is marked </w:t>
            </w:r>
            <w:r>
              <w:rPr>
                <w:b w:val="0"/>
                <w:i w:val="0"/>
                <w:highlight w:val="yellow"/>
              </w:rPr>
              <w:t>like this</w:t>
            </w:r>
            <w:r>
              <w:rPr>
                <w:b w:val="0"/>
                <w:i w:val="0"/>
              </w:rPr>
              <w:t xml:space="preserve"> below. Beyond those, the recording adds one priority and one cut: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“She also discovered the M protein and </w:t>
                  </w:r>
                  <w:r>
                    <w:rPr>
                      <w:b w:val="0"/>
                      <w:i/>
                      <w:sz w:val="18"/>
                      <w:highlight w:val="yellow"/>
                    </w:rPr>
                    <w:t>this M protein, which you might also want to highlight, is important for the ability of these bacteria to avoid phagocytosis</w:t>
                  </w:r>
                  <w:r>
                    <w:rPr>
                      <w:b w:val="0"/>
                      <w:i/>
                      <w:sz w:val="18"/>
                    </w:rPr>
                    <w:t>.”</w:t>
                  </w:r>
                  <w:r>
                    <w:rPr>
                      <w:b w:val="0"/>
                      <w:i w:val="0"/>
                      <w:sz w:val="18"/>
                    </w:rPr>
                    <w:t xml:space="preserve"> [21:23]</w:t>
                  </w:r>
                </w:p>
              </w:tc>
              <w:tc>
                <w:tcPr>
                  <w:tcW w:type="dxa" w:w="5112"/>
                </w:tcPr>
                <w:p>
                  <w:pPr>
                    <w:spacing w:after="40"/>
                  </w:pPr>
                  <w:r>
                    <w:rPr>
                      <w:sz w:val="18"/>
                    </w:rPr>
                  </w:r>
                  <w:r>
                    <w:rPr>
                      <w:b w:val="0"/>
                      <w:i w:val="0"/>
                      <w:sz w:val="18"/>
                    </w:rPr>
                    <w:t xml:space="preserve">The one fact she told the class to add to the highlights: M-protein → resistance to phagocytosis (slide 28). In the same breath she said she had changed the slide that morning so it reads that the </w:t>
                  </w:r>
                  <w:r>
                    <w:rPr>
                      <w:b/>
                      <w:i w:val="0"/>
                      <w:sz w:val="18"/>
                    </w:rPr>
                    <w:t>C-carbohydrates</w:t>
                  </w:r>
                  <w:r>
                    <w:rPr>
                      <w:b w:val="0"/>
                      <w:i w:val="0"/>
                      <w:sz w:val="18"/>
                    </w:rPr>
                    <w:t xml:space="preserve"> are what the Lancefield groups rest on.</w:t>
                  </w:r>
                </w:p>
              </w:tc>
            </w:tr>
            <w:tr>
              <w:tc>
                <w:tcPr>
                  <w:tcW w:type="dxa" w:w="5112"/>
                </w:tcPr>
                <w:p>
                  <w:pPr>
                    <w:spacing w:after="40"/>
                  </w:pPr>
                  <w:r>
                    <w:rPr>
                      <w:sz w:val="18"/>
                    </w:rPr>
                  </w:r>
                  <w:r>
                    <w:rPr>
                      <w:b w:val="0"/>
                      <w:i/>
                      <w:sz w:val="18"/>
                    </w:rPr>
                    <w:t>“Don’t worry about digging down into the Lancefield letters. The A and the B are the primo ones. So the other letters are just opportunistic infections… don’t bog down too much in the details.”</w:t>
                  </w:r>
                  <w:r>
                    <w:rPr>
                      <w:b w:val="0"/>
                      <w:i w:val="0"/>
                      <w:sz w:val="18"/>
                    </w:rPr>
                    <w:t xml:space="preserve"> [29:59]</w:t>
                  </w:r>
                </w:p>
              </w:tc>
              <w:tc>
                <w:tcPr>
                  <w:tcW w:type="dxa" w:w="5112"/>
                </w:tcPr>
                <w:p>
                  <w:pPr>
                    <w:spacing w:after="40"/>
                  </w:pPr>
                  <w:r>
                    <w:rPr>
                      <w:sz w:val="18"/>
                    </w:rPr>
                  </w:r>
                  <w:r>
                    <w:rPr>
                      <w:b w:val="0"/>
                      <w:i w:val="0"/>
                      <w:sz w:val="18"/>
                    </w:rPr>
                    <w:t xml:space="preserve">Know groups </w:t>
                  </w:r>
                  <w:r>
                    <w:rPr>
                      <w:b/>
                      <w:i w:val="0"/>
                      <w:sz w:val="18"/>
                    </w:rPr>
                    <w:t>A</w:t>
                  </w:r>
                  <w:r>
                    <w:rPr>
                      <w:b w:val="0"/>
                      <w:i w:val="0"/>
                      <w:sz w:val="18"/>
                    </w:rPr>
                    <w:t xml:space="preserve"> (</w:t>
                  </w:r>
                  <w:r>
                    <w:rPr>
                      <w:b w:val="0"/>
                      <w:i/>
                      <w:sz w:val="18"/>
                    </w:rPr>
                    <w:t>Streptococcus pyogenes</w:t>
                  </w:r>
                  <w:r>
                    <w:rPr>
                      <w:b w:val="0"/>
                      <w:i w:val="0"/>
                      <w:sz w:val="18"/>
                    </w:rPr>
                    <w:t xml:space="preserve">) and </w:t>
                  </w:r>
                  <w:r>
                    <w:rPr>
                      <w:b/>
                      <w:i w:val="0"/>
                      <w:sz w:val="18"/>
                    </w:rPr>
                    <w:t>B</w:t>
                  </w:r>
                  <w:r>
                    <w:rPr>
                      <w:b w:val="0"/>
                      <w:i w:val="0"/>
                      <w:sz w:val="18"/>
                    </w:rPr>
                    <w:t xml:space="preserve"> (</w:t>
                  </w:r>
                  <w:r>
                    <w:rPr>
                      <w:b w:val="0"/>
                      <w:i/>
                      <w:sz w:val="18"/>
                    </w:rPr>
                    <w:t>Streptococcus agalactiae</w:t>
                  </w:r>
                  <w:r>
                    <w:rPr>
                      <w:b w:val="0"/>
                      <w:i w:val="0"/>
                      <w:sz w:val="18"/>
                    </w:rPr>
                    <w:t>) thoroughly. The letters in the slide 26 table beyond A, B and D (the enterococci, which are on the syllabus list) are not worth memorizing, and no question asks them.</w:t>
                  </w:r>
                </w:p>
              </w:tc>
            </w:tr>
            <w:tr>
              <w:tc>
                <w:tcPr>
                  <w:tcW w:type="dxa" w:w="5112"/>
                </w:tcPr>
                <w:p>
                  <w:pPr>
                    <w:spacing w:after="40"/>
                  </w:pPr>
                  <w:r>
                    <w:rPr>
                      <w:sz w:val="18"/>
                    </w:rPr>
                  </w:r>
                  <w:r>
                    <w:rPr>
                      <w:b w:val="0"/>
                      <w:i w:val="0"/>
                      <w:sz w:val="18"/>
                    </w:rPr>
                    <w:t xml:space="preserve">The catalase test </w:t>
                  </w:r>
                  <w:r>
                    <w:rPr>
                      <w:b w:val="0"/>
                      <w:i/>
                      <w:sz w:val="18"/>
                    </w:rPr>
                    <w:t>“can’t”</w:t>
                  </w:r>
                  <w:r>
                    <w:rPr>
                      <w:b w:val="0"/>
                      <w:i w:val="0"/>
                      <w:sz w:val="18"/>
                    </w:rPr>
                    <w:t xml:space="preserve"> be run on colonies taken from blood agar, </w:t>
                  </w:r>
                  <w:r>
                    <w:rPr>
                      <w:b w:val="0"/>
                      <w:i/>
                      <w:sz w:val="18"/>
                    </w:rPr>
                    <w:t>“because red blood cells also produce the enzyme, so it would give you a false positive indication.”</w:t>
                  </w:r>
                  <w:r>
                    <w:rPr>
                      <w:b w:val="0"/>
                      <w:i w:val="0"/>
                      <w:sz w:val="18"/>
                    </w:rPr>
                    <w:t xml:space="preserve"> [12:51]</w:t>
                  </w:r>
                </w:p>
              </w:tc>
              <w:tc>
                <w:tcPr>
                  <w:tcW w:type="dxa" w:w="5112"/>
                </w:tcPr>
                <w:p>
                  <w:pPr>
                    <w:spacing w:after="40"/>
                  </w:pPr>
                  <w:r>
                    <w:rPr>
                      <w:sz w:val="18"/>
                    </w:rPr>
                  </w:r>
                  <w:r>
                    <w:rPr>
                      <w:b w:val="0"/>
                      <w:i w:val="0"/>
                      <w:sz w:val="18"/>
                    </w:rPr>
                    <w:t>A bench technique the deck does not state. Useful context for slide 18; not quizzed, because it is not on the slides.</w:t>
                  </w:r>
                </w:p>
              </w:tc>
            </w:tr>
          </w:tbl>
          <w:p/>
          <w:p>
            <w:pPr>
              <w:spacing w:after="80"/>
            </w:pPr>
          </w:p>
          <w:p>
            <w:pPr>
              <w:spacing w:after="120"/>
            </w:pPr>
            <w:r>
              <w:rPr>
                <w:b/>
                <w:i w:val="0"/>
              </w:rPr>
              <w:t>Where the time went</w:t>
            </w:r>
            <w:r>
              <w:rPr>
                <w:b w:val="0"/>
                <w:i w:val="0"/>
              </w:rPr>
              <w:t xml:space="preserve"> (minutes spoken, local transcript): staphylococci about 16 minutes (26%); streptococci and enterococci about 26 (43%), the largest block, of which group A and its Lancefield history took about 9; the Gram-negatives about 18 (31%), though about 5 of those were anecdote over the sexually transmitted infection rate maps on slides 62–66. The quizzes are weighted the same way, 8 / 13 / 9 questions per set.</w:t>
            </w:r>
          </w:p>
        </w:tc>
      </w:tr>
    </w:tbl>
    <w:p>
      <w:pPr>
        <w:spacing w:after="80"/>
      </w:pPr>
    </w:p>
    <w:p>
      <w:pPr>
        <w:pStyle w:val="Heading2"/>
        <w:spacing w:before="200" w:after="100"/>
      </w:pPr>
      <w:r>
        <w:rPr>
          <w:rFonts w:ascii="Georgia" w:hAnsi="Georgia"/>
          <w:color w:val="1F4D2B"/>
        </w:rPr>
        <w:t>9.1 · Objective 1 — The decision tree for the Gram-positive cocci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Step</w:t>
            </w:r>
          </w:p>
        </w:tc>
        <w:tc>
          <w:tcPr>
            <w:tcW w:type="dxa" w:w="3408"/>
            <w:shd w:val="clear" w:color="auto" w:fill="1F4D2B"/>
          </w:tcPr>
          <w:p>
            <w:pPr>
              <w:spacing w:after="40"/>
            </w:pPr>
            <w:r>
              <w:rPr>
                <w:b/>
                <w:color w:val="FFFFFF"/>
                <w:sz w:val="18"/>
              </w:rPr>
            </w:r>
            <w:r>
              <w:rPr>
                <w:b/>
                <w:i w:val="0"/>
                <w:color w:val="FFFFFF"/>
                <w:sz w:val="18"/>
              </w:rPr>
              <w:t>Staphylococci</w:t>
            </w:r>
          </w:p>
        </w:tc>
        <w:tc>
          <w:tcPr>
            <w:tcW w:type="dxa" w:w="3408"/>
            <w:shd w:val="clear" w:color="auto" w:fill="1F4D2B"/>
          </w:tcPr>
          <w:p>
            <w:pPr>
              <w:spacing w:after="40"/>
            </w:pPr>
            <w:r>
              <w:rPr>
                <w:b/>
                <w:color w:val="FFFFFF"/>
                <w:sz w:val="18"/>
              </w:rPr>
            </w:r>
            <w:r>
              <w:rPr>
                <w:b/>
                <w:i w:val="0"/>
                <w:color w:val="FFFFFF"/>
                <w:sz w:val="18"/>
              </w:rPr>
              <w:t>Streptococci and enterococci</w:t>
            </w:r>
          </w:p>
        </w:tc>
      </w:tr>
      <w:tr>
        <w:tc>
          <w:tcPr>
            <w:tcW w:type="dxa" w:w="3408"/>
          </w:tcPr>
          <w:p>
            <w:pPr>
              <w:spacing w:after="40"/>
            </w:pPr>
            <w:r>
              <w:rPr>
                <w:sz w:val="18"/>
              </w:rPr>
            </w:r>
            <w:r>
              <w:rPr>
                <w:b w:val="0"/>
                <w:i w:val="0"/>
                <w:sz w:val="18"/>
              </w:rPr>
              <w:t>Gram stain</w:t>
            </w:r>
          </w:p>
        </w:tc>
        <w:tc>
          <w:tcPr>
            <w:tcW w:type="dxa" w:w="3408"/>
          </w:tcPr>
          <w:p>
            <w:pPr>
              <w:spacing w:after="40"/>
            </w:pPr>
            <w:r>
              <w:rPr>
                <w:sz w:val="18"/>
              </w:rPr>
            </w:r>
            <w:r>
              <w:rPr>
                <w:b w:val="0"/>
                <w:i w:val="0"/>
                <w:sz w:val="18"/>
                <w:highlight w:val="yellow"/>
              </w:rPr>
              <w:t>Gram-positive, from thick peptidoglycan in the cell envelope; Gram-positive cells are physically strong (whereas Gram-negative cells are chemically strong)</w:t>
            </w:r>
            <w:r>
              <w:rPr>
                <w:b w:val="0"/>
                <w:i w:val="0"/>
                <w:sz w:val="18"/>
              </w:rPr>
              <w:t xml:space="preserve">. Spherical cells in </w:t>
            </w:r>
            <w:r>
              <w:rPr>
                <w:b/>
                <w:i w:val="0"/>
                <w:sz w:val="18"/>
              </w:rPr>
              <w:t>irregular clusters</w:t>
            </w:r>
          </w:p>
        </w:tc>
        <w:tc>
          <w:tcPr>
            <w:tcW w:type="dxa" w:w="3408"/>
          </w:tcPr>
          <w:p>
            <w:pPr>
              <w:spacing w:after="40"/>
            </w:pPr>
            <w:r>
              <w:rPr>
                <w:sz w:val="18"/>
              </w:rPr>
            </w:r>
            <w:r>
              <w:rPr>
                <w:b w:val="0"/>
                <w:i w:val="0"/>
                <w:sz w:val="18"/>
              </w:rPr>
              <w:t xml:space="preserve">Gram-positive spherical or ovoid cocci in </w:t>
            </w:r>
            <w:r>
              <w:rPr>
                <w:b/>
                <w:i w:val="0"/>
                <w:sz w:val="18"/>
              </w:rPr>
              <w:t>long chains</w:t>
            </w:r>
            <w:r>
              <w:rPr>
                <w:b w:val="0"/>
                <w:i w:val="0"/>
                <w:sz w:val="18"/>
              </w:rPr>
              <w:t>, commonly in pairs</w:t>
            </w:r>
          </w:p>
        </w:tc>
      </w:tr>
      <w:tr>
        <w:tc>
          <w:tcPr>
            <w:tcW w:type="dxa" w:w="3408"/>
          </w:tcPr>
          <w:p>
            <w:pPr>
              <w:spacing w:after="40"/>
            </w:pPr>
            <w:r>
              <w:rPr>
                <w:sz w:val="18"/>
              </w:rPr>
            </w:r>
            <w:r>
              <w:rPr>
                <w:b w:val="0"/>
                <w:i w:val="0"/>
                <w:sz w:val="18"/>
              </w:rPr>
              <w:t>Spores and motility</w:t>
            </w:r>
          </w:p>
        </w:tc>
        <w:tc>
          <w:tcPr>
            <w:tcW w:type="dxa" w:w="3408"/>
          </w:tcPr>
          <w:p>
            <w:pPr>
              <w:spacing w:after="40"/>
            </w:pPr>
            <w:r>
              <w:rPr>
                <w:sz w:val="18"/>
              </w:rPr>
            </w:r>
            <w:r>
              <w:rPr>
                <w:b w:val="0"/>
                <w:i w:val="0"/>
                <w:sz w:val="18"/>
                <w:highlight w:val="yellow"/>
              </w:rPr>
              <w:t>Staph are always non-spore-forming and non-motile</w:t>
            </w:r>
            <w:r>
              <w:rPr>
                <w:b w:val="0"/>
                <w:i w:val="0"/>
                <w:sz w:val="18"/>
              </w:rPr>
              <w:t xml:space="preserve"> (no spores, no flagella). May produce capsules</w:t>
            </w:r>
          </w:p>
        </w:tc>
        <w:tc>
          <w:tcPr>
            <w:tcW w:type="dxa" w:w="3408"/>
          </w:tcPr>
          <w:p>
            <w:pPr>
              <w:spacing w:after="40"/>
            </w:pPr>
            <w:r>
              <w:rPr>
                <w:sz w:val="18"/>
              </w:rPr>
            </w:r>
            <w:r>
              <w:rPr>
                <w:b w:val="0"/>
                <w:i w:val="0"/>
                <w:sz w:val="18"/>
              </w:rPr>
              <w:t>Non-spore-forming, nonmotile; can form capsules and slime layers</w:t>
            </w:r>
          </w:p>
        </w:tc>
      </w:tr>
      <w:tr>
        <w:tc>
          <w:tcPr>
            <w:tcW w:type="dxa" w:w="3408"/>
          </w:tcPr>
          <w:p>
            <w:pPr>
              <w:spacing w:after="40"/>
            </w:pPr>
            <w:r>
              <w:rPr>
                <w:sz w:val="18"/>
              </w:rPr>
            </w:r>
            <w:r>
              <w:rPr>
                <w:b w:val="0"/>
                <w:i w:val="0"/>
                <w:sz w:val="18"/>
                <w:highlight w:val="yellow"/>
              </w:rPr>
              <w:t>Catalase reaction</w:t>
            </w:r>
            <w:r>
              <w:rPr>
                <w:b w:val="0"/>
                <w:i w:val="0"/>
                <w:sz w:val="18"/>
              </w:rPr>
              <w:t xml:space="preserve"> (hydrogen peroxide)</w:t>
            </w:r>
          </w:p>
        </w:tc>
        <w:tc>
          <w:tcPr>
            <w:tcW w:type="dxa" w:w="3408"/>
          </w:tcPr>
          <w:p>
            <w:pPr>
              <w:spacing w:after="40"/>
            </w:pPr>
            <w:r>
              <w:rPr>
                <w:sz w:val="18"/>
              </w:rPr>
            </w:r>
            <w:r>
              <w:rPr>
                <w:b/>
                <w:i w:val="0"/>
                <w:sz w:val="18"/>
              </w:rPr>
              <w:t>Catalase positive</w:t>
            </w:r>
            <w:r>
              <w:rPr>
                <w:b w:val="0"/>
                <w:i w:val="0"/>
                <w:sz w:val="18"/>
              </w:rPr>
              <w:t xml:space="preserve"> — bubbles</w:t>
            </w:r>
          </w:p>
        </w:tc>
        <w:tc>
          <w:tcPr>
            <w:tcW w:type="dxa" w:w="3408"/>
          </w:tcPr>
          <w:p>
            <w:pPr>
              <w:spacing w:after="40"/>
            </w:pPr>
            <w:r>
              <w:rPr>
                <w:sz w:val="18"/>
              </w:rPr>
            </w:r>
            <w:r>
              <w:rPr>
                <w:b w:val="0"/>
                <w:i w:val="0"/>
                <w:sz w:val="18"/>
                <w:highlight w:val="yellow"/>
              </w:rPr>
              <w:t>Catalase negative</w:t>
            </w:r>
            <w:r>
              <w:rPr>
                <w:b w:val="0"/>
                <w:i w:val="0"/>
                <w:sz w:val="18"/>
              </w:rPr>
              <w:t>, though streptococci have a peroxidase system</w:t>
            </w:r>
          </w:p>
        </w:tc>
      </w:tr>
      <w:tr>
        <w:tc>
          <w:tcPr>
            <w:tcW w:type="dxa" w:w="3408"/>
          </w:tcPr>
          <w:p>
            <w:pPr>
              <w:spacing w:after="40"/>
            </w:pPr>
            <w:r>
              <w:rPr>
                <w:sz w:val="18"/>
              </w:rPr>
            </w:r>
            <w:r>
              <w:rPr>
                <w:b w:val="0"/>
                <w:i w:val="0"/>
                <w:sz w:val="18"/>
              </w:rPr>
              <w:t>Coagulase</w:t>
            </w:r>
          </w:p>
        </w:tc>
        <w:tc>
          <w:tcPr>
            <w:tcW w:type="dxa" w:w="3408"/>
          </w:tcPr>
          <w:p>
            <w:pPr>
              <w:spacing w:after="40"/>
            </w:pPr>
            <w:r>
              <w:rPr>
                <w:sz w:val="18"/>
              </w:rPr>
            </w:r>
            <w:r>
              <w:rPr>
                <w:b/>
                <w:i w:val="0"/>
                <w:sz w:val="18"/>
              </w:rPr>
              <w:t xml:space="preserve">Positive = </w:t>
            </w:r>
            <w:r>
              <w:rPr>
                <w:b/>
                <w:i/>
                <w:sz w:val="18"/>
              </w:rPr>
              <w:t>Staphylococcus aureus</w:t>
            </w:r>
            <w:r>
              <w:rPr>
                <w:b w:val="0"/>
                <w:i w:val="0"/>
                <w:sz w:val="18"/>
              </w:rPr>
              <w:t>; negative = the other staphylococci</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highlight w:val="yellow"/>
              </w:rPr>
              <w:t>Blood agar (to detect hemolysis)</w:t>
            </w:r>
          </w:p>
        </w:tc>
        <w:tc>
          <w:tcPr>
            <w:tcW w:type="dxa" w:w="3408"/>
          </w:tcPr>
          <w:p>
            <w:pPr>
              <w:spacing w:after="40"/>
            </w:pPr>
            <w:r>
              <w:rPr>
                <w:sz w:val="18"/>
              </w:rPr>
            </w:r>
            <w:r>
              <w:rPr>
                <w:b w:val="0"/>
                <w:i/>
                <w:sz w:val="18"/>
              </w:rPr>
              <w:t>Staphylococcus aureus</w:t>
            </w:r>
            <w:r>
              <w:rPr>
                <w:b w:val="0"/>
                <w:i w:val="0"/>
                <w:sz w:val="18"/>
              </w:rPr>
              <w:t xml:space="preserve"> hemolysins give clear zones</w:t>
            </w:r>
          </w:p>
        </w:tc>
        <w:tc>
          <w:tcPr>
            <w:tcW w:type="dxa" w:w="3408"/>
          </w:tcPr>
          <w:p>
            <w:pPr>
              <w:spacing w:after="40"/>
            </w:pPr>
            <w:r>
              <w:rPr>
                <w:sz w:val="18"/>
              </w:rPr>
            </w:r>
            <w:r>
              <w:rPr>
                <w:b w:val="0"/>
                <w:i w:val="0"/>
                <w:sz w:val="18"/>
                <w:highlight w:val="yellow"/>
              </w:rPr>
              <w:t>Beta = complete hemolysis on blood agar plate</w:t>
            </w:r>
            <w:r>
              <w:rPr>
                <w:b w:val="0"/>
                <w:i w:val="0"/>
                <w:sz w:val="18"/>
              </w:rPr>
              <w:t xml:space="preserve"> (a clear zone); </w:t>
            </w:r>
            <w:r>
              <w:rPr>
                <w:b w:val="0"/>
                <w:i w:val="0"/>
                <w:sz w:val="18"/>
                <w:highlight w:val="yellow"/>
              </w:rPr>
              <w:t>alpha = partial hemolysis on blood agar plate</w:t>
            </w:r>
            <w:r>
              <w:rPr>
                <w:b w:val="0"/>
                <w:i w:val="0"/>
                <w:sz w:val="18"/>
              </w:rPr>
              <w:t>, greenish</w:t>
            </w:r>
          </w:p>
        </w:tc>
      </w:tr>
      <w:tr>
        <w:tc>
          <w:tcPr>
            <w:tcW w:type="dxa" w:w="3408"/>
          </w:tcPr>
          <w:p>
            <w:pPr>
              <w:spacing w:after="40"/>
            </w:pPr>
            <w:r>
              <w:rPr>
                <w:sz w:val="18"/>
              </w:rPr>
            </w:r>
            <w:r>
              <w:rPr>
                <w:b w:val="0"/>
                <w:i w:val="0"/>
                <w:sz w:val="18"/>
              </w:rPr>
              <w:t>Salt</w:t>
            </w:r>
          </w:p>
        </w:tc>
        <w:tc>
          <w:tcPr>
            <w:tcW w:type="dxa" w:w="3408"/>
          </w:tcPr>
          <w:p>
            <w:pPr>
              <w:spacing w:after="40"/>
            </w:pPr>
            <w:r>
              <w:rPr>
                <w:sz w:val="18"/>
              </w:rPr>
            </w:r>
            <w:r>
              <w:rPr>
                <w:b w:val="0"/>
                <w:i w:val="0"/>
                <w:sz w:val="18"/>
              </w:rPr>
              <w:t>Withstand high salinity; grow on mannitol salts agar</w:t>
            </w:r>
          </w:p>
        </w:tc>
        <w:tc>
          <w:tcPr>
            <w:tcW w:type="dxa" w:w="3408"/>
          </w:tcPr>
          <w:p>
            <w:pPr>
              <w:spacing w:after="40"/>
            </w:pPr>
            <w:r>
              <w:rPr>
                <w:sz w:val="18"/>
              </w:rPr>
            </w:r>
            <w:r>
              <w:rPr>
                <w:b w:val="0"/>
                <w:i w:val="0"/>
                <w:sz w:val="18"/>
              </w:rPr>
              <w:t>Do not grow well on mannitol salts agar, which is too saline</w:t>
            </w:r>
          </w:p>
        </w:tc>
      </w:tr>
      <w:tr>
        <w:tc>
          <w:tcPr>
            <w:tcW w:type="dxa" w:w="3408"/>
          </w:tcPr>
          <w:p>
            <w:pPr>
              <w:spacing w:after="40"/>
            </w:pPr>
            <w:r>
              <w:rPr>
                <w:sz w:val="18"/>
              </w:rPr>
            </w:r>
            <w:r>
              <w:rPr>
                <w:b w:val="0"/>
                <w:i w:val="0"/>
                <w:sz w:val="18"/>
              </w:rPr>
              <w:t>Next step</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Beta-hemolytic: </w:t>
            </w:r>
            <w:r>
              <w:rPr>
                <w:b/>
                <w:i w:val="0"/>
                <w:sz w:val="18"/>
              </w:rPr>
              <w:t xml:space="preserve">bacitracin sensitive = group A, </w:t>
            </w:r>
            <w:r>
              <w:rPr>
                <w:b/>
                <w:i/>
                <w:sz w:val="18"/>
              </w:rPr>
              <w:t>Streptococcus pyogenes</w:t>
            </w:r>
            <w:r>
              <w:rPr>
                <w:b w:val="0"/>
                <w:i w:val="0"/>
                <w:sz w:val="18"/>
              </w:rPr>
              <w:t xml:space="preserve">; bacitracin resistant = groups B and C. Alpha-hemolytic: </w:t>
            </w:r>
            <w:r>
              <w:rPr>
                <w:b/>
                <w:i w:val="0"/>
                <w:sz w:val="18"/>
              </w:rPr>
              <w:t xml:space="preserve">optochin sensitive = </w:t>
            </w:r>
            <w:r>
              <w:rPr>
                <w:b/>
                <w:i/>
                <w:sz w:val="18"/>
              </w:rPr>
              <w:t>Streptococcus pneumoniae</w:t>
            </w:r>
            <w:r>
              <w:rPr>
                <w:b w:val="0"/>
                <w:i w:val="0"/>
                <w:sz w:val="18"/>
              </w:rPr>
              <w:t>; optochin resistant = group D and viridans streptococci</w:t>
            </w:r>
          </w:p>
        </w:tc>
      </w:tr>
    </w:tbl>
    <w:p>
      <w:pPr>
        <w:spacing w:after="80"/>
      </w:pPr>
    </w:p>
    <w:p>
      <w:pPr>
        <w:jc w:val="center"/>
      </w:pPr>
      <w:r>
        <w:drawing>
          <wp:inline xmlns:a="http://schemas.openxmlformats.org/drawingml/2006/main" xmlns:pic="http://schemas.openxmlformats.org/drawingml/2006/picture">
            <wp:extent cx="3840480" cy="3486064"/>
            <wp:docPr id="10" name="Picture 10"/>
            <wp:cNvGraphicFramePr>
              <a:graphicFrameLocks noChangeAspect="1"/>
            </wp:cNvGraphicFramePr>
            <a:graphic>
              <a:graphicData uri="http://schemas.openxmlformats.org/drawingml/2006/picture">
                <pic:pic>
                  <pic:nvPicPr>
                    <pic:cNvPr id="0" name="Microbiology_Exam_2_micro-exam-2-study-guide-images_l9-s18-catalase-coagulase.jpg"/>
                    <pic:cNvPicPr/>
                  </pic:nvPicPr>
                  <pic:blipFill>
                    <a:blip r:embed="rId18"/>
                    <a:stretch>
                      <a:fillRect/>
                    </a:stretch>
                  </pic:blipFill>
                  <pic:spPr>
                    <a:xfrm>
                      <a:off x="0" y="0"/>
                      <a:ext cx="3840480" cy="3486064"/>
                    </a:xfrm>
                    <a:prstGeom prst="rect"/>
                  </pic:spPr>
                </pic:pic>
              </a:graphicData>
            </a:graphic>
          </wp:inline>
        </w:drawing>
      </w:r>
    </w:p>
    <w:p>
      <w:pPr>
        <w:spacing w:after="160"/>
        <w:jc w:val="center"/>
      </w:pPr>
      <w:r>
        <w:rPr>
          <w:sz w:val="15"/>
        </w:rPr>
        <w:t>The first two steps. Catalase splits the Gram-positive cocci in one move: bubbling (+) for the staphylococci, none (−) for the streptococci. Coagulase then splits the staphylococci: a clot in the tube is Staphylococcus aureus , a liquid tube is one of the coagulase-negative species. The catalase test is useful to distinguish staphylococci (catalase positive) from streptococci and enterococci (both catalase negative). Copyright © The McGraw-Hill Companies. Source: PAJ5200.Cocci of Med importance.pptx, Slide 18.</w:t>
      </w:r>
    </w:p>
    <w:p>
      <w:pPr>
        <w:jc w:val="center"/>
      </w:pPr>
      <w:r>
        <w:drawing>
          <wp:inline xmlns:a="http://schemas.openxmlformats.org/drawingml/2006/main" xmlns:pic="http://schemas.openxmlformats.org/drawingml/2006/picture">
            <wp:extent cx="3840480" cy="2717140"/>
            <wp:docPr id="11" name="Picture 11"/>
            <wp:cNvGraphicFramePr>
              <a:graphicFrameLocks noChangeAspect="1"/>
            </wp:cNvGraphicFramePr>
            <a:graphic>
              <a:graphicData uri="http://schemas.openxmlformats.org/drawingml/2006/picture">
                <pic:pic>
                  <pic:nvPicPr>
                    <pic:cNvPr id="0" name="Microbiology_Exam_2_micro-exam-2-study-guide-images_l9-s24-hemolysis-flowchart.jpg"/>
                    <pic:cNvPicPr/>
                  </pic:nvPicPr>
                  <pic:blipFill>
                    <a:blip r:embed="rId19"/>
                    <a:stretch>
                      <a:fillRect/>
                    </a:stretch>
                  </pic:blipFill>
                  <pic:spPr>
                    <a:xfrm>
                      <a:off x="0" y="0"/>
                      <a:ext cx="3840480" cy="2717140"/>
                    </a:xfrm>
                    <a:prstGeom prst="rect"/>
                  </pic:spPr>
                </pic:pic>
              </a:graphicData>
            </a:graphic>
          </wp:inline>
        </w:drawing>
      </w:r>
    </w:p>
    <w:p>
      <w:pPr>
        <w:spacing w:after="160"/>
        <w:jc w:val="center"/>
      </w:pPr>
      <w:r>
        <w:rPr>
          <w:sz w:val="15"/>
        </w:rPr>
        <w:t>The streptococcal half of the tree, and the only place in the deck that names the bacitracin and optochin splits (the chart is a picture, not slide text). Plate (a): Streptococcus pyogenes with clear zones of beta (complete) hemolysis. Plate (b): the green of alpha (partial) hemolysis — the “viridans” green. The chart: beta-hemolytic streptococci that are bacitracin sensitive are group A , resistant ones groups B and C; alpha-hemolytic streptococci that are optochin sensitive are Streptococcus pneumoniae , resistant ones group D and viridans. Copyright © The McGraw-Hill Companies. Source: PAJ5200.Cocci of Med importance.pptx, Slide 24.</w:t>
      </w:r>
    </w:p>
    <w:p>
      <w:pPr>
        <w:pStyle w:val="Heading2"/>
        <w:spacing w:before="200" w:after="100"/>
      </w:pPr>
      <w:r>
        <w:rPr>
          <w:rFonts w:ascii="Georgia" w:hAnsi="Georgia"/>
          <w:color w:val="1F4D2B"/>
        </w:rPr>
        <w:t>9.2 · Objective 1 — Staphylococcus aureus</w:t>
      </w:r>
    </w:p>
    <w:p>
      <w:pPr>
        <w:spacing w:after="120"/>
      </w:pPr>
      <w:r>
        <w:rPr>
          <w:b w:val="0"/>
          <w:i w:val="0"/>
        </w:rPr>
        <w:t xml:space="preserve">Staphylococci are common inhabitants of the skin and mucous membranes; 31 species are in the genus. </w:t>
      </w:r>
      <w:r>
        <w:rPr>
          <w:b w:val="0"/>
          <w:i/>
        </w:rPr>
        <w:t>Staphylococcus aureus</w:t>
      </w:r>
      <w:r>
        <w:rPr>
          <w:b w:val="0"/>
          <w:i w:val="0"/>
        </w:rPr>
        <w:t xml:space="preserve"> grows in large, round, opaque colonies that may be slightly yellowish (</w:t>
      </w:r>
      <w:r>
        <w:rPr>
          <w:b w:val="0"/>
          <w:i/>
        </w:rPr>
        <w:t>aureus</w:t>
      </w:r>
      <w:r>
        <w:rPr>
          <w:b w:val="0"/>
          <w:i w:val="0"/>
        </w:rPr>
        <w:t xml:space="preserve"> = golden), with an optimum growth temperature of 37°C. It is a </w:t>
      </w:r>
      <w:r>
        <w:rPr>
          <w:b/>
          <w:i w:val="0"/>
        </w:rPr>
        <w:t>facultative anaerobe</w:t>
      </w:r>
      <w:r>
        <w:rPr>
          <w:b w:val="0"/>
          <w:i w:val="0"/>
        </w:rPr>
        <w:t xml:space="preserve"> that thrives with or without oxygen, withstands high salinity, extremes of pH and high temperatures, and produces many virulence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Coagulase</w:t>
            </w:r>
          </w:p>
        </w:tc>
        <w:tc>
          <w:tcPr>
            <w:tcW w:type="dxa" w:w="5112"/>
          </w:tcPr>
          <w:p>
            <w:pPr>
              <w:spacing w:after="40"/>
            </w:pPr>
            <w:r>
              <w:rPr>
                <w:sz w:val="18"/>
              </w:rPr>
            </w:r>
            <w:r>
              <w:rPr>
                <w:b w:val="0"/>
                <w:i w:val="0"/>
                <w:sz w:val="18"/>
              </w:rPr>
              <w:t xml:space="preserve">Coagulates plasma and blood; produced by 97% of human isolates; </w:t>
            </w:r>
            <w:r>
              <w:rPr>
                <w:b/>
                <w:i w:val="0"/>
                <w:sz w:val="18"/>
              </w:rPr>
              <w:t>a significant diagnostic trait</w:t>
            </w:r>
            <w:r>
              <w:rPr>
                <w:b w:val="0"/>
                <w:i w:val="0"/>
                <w:sz w:val="18"/>
              </w:rPr>
              <w:t xml:space="preserve"> for this organism</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Digests connective tissue</w:t>
            </w:r>
          </w:p>
        </w:tc>
      </w:tr>
      <w:tr>
        <w:tc>
          <w:tcPr>
            <w:tcW w:type="dxa" w:w="5112"/>
          </w:tcPr>
          <w:p>
            <w:pPr>
              <w:spacing w:after="40"/>
            </w:pPr>
            <w:r>
              <w:rPr>
                <w:sz w:val="18"/>
              </w:rPr>
            </w:r>
            <w:r>
              <w:rPr>
                <w:b w:val="0"/>
                <w:i w:val="0"/>
                <w:sz w:val="18"/>
              </w:rPr>
              <w:t>Staphylokinase</w:t>
            </w:r>
          </w:p>
        </w:tc>
        <w:tc>
          <w:tcPr>
            <w:tcW w:type="dxa" w:w="5112"/>
          </w:tcPr>
          <w:p>
            <w:pPr>
              <w:spacing w:after="40"/>
            </w:pPr>
            <w:r>
              <w:rPr>
                <w:sz w:val="18"/>
              </w:rPr>
            </w:r>
            <w:r>
              <w:rPr>
                <w:b w:val="0"/>
                <w:i w:val="0"/>
                <w:sz w:val="18"/>
              </w:rPr>
              <w:t>Digests blood clots</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Digests deoxyribonucleic acid</w:t>
            </w:r>
          </w:p>
        </w:tc>
      </w:tr>
      <w:tr>
        <w:tc>
          <w:tcPr>
            <w:tcW w:type="dxa" w:w="5112"/>
          </w:tcPr>
          <w:p>
            <w:pPr>
              <w:spacing w:after="40"/>
            </w:pPr>
            <w:r>
              <w:rPr>
                <w:sz w:val="18"/>
              </w:rPr>
            </w:r>
            <w:r>
              <w:rPr>
                <w:b w:val="0"/>
                <w:i w:val="0"/>
                <w:sz w:val="18"/>
              </w:rPr>
              <w:t>Lipases</w:t>
            </w:r>
          </w:p>
        </w:tc>
        <w:tc>
          <w:tcPr>
            <w:tcW w:type="dxa" w:w="5112"/>
          </w:tcPr>
          <w:p>
            <w:pPr>
              <w:spacing w:after="40"/>
            </w:pPr>
            <w:r>
              <w:rPr>
                <w:sz w:val="18"/>
              </w:rPr>
            </w:r>
            <w:r>
              <w:rPr>
                <w:b w:val="0"/>
                <w:i w:val="0"/>
                <w:sz w:val="18"/>
              </w:rPr>
              <w:t xml:space="preserve">Digest oils and other lipids; </w:t>
            </w:r>
            <w:r>
              <w:rPr>
                <w:b/>
                <w:i w:val="0"/>
                <w:sz w:val="18"/>
              </w:rPr>
              <w:t>enhance colonization on skin</w:t>
            </w:r>
          </w:p>
        </w:tc>
      </w:tr>
      <w:tr>
        <w:tc>
          <w:tcPr>
            <w:tcW w:type="dxa" w:w="5112"/>
          </w:tcPr>
          <w:p>
            <w:pPr>
              <w:spacing w:after="40"/>
            </w:pPr>
            <w:r>
              <w:rPr>
                <w:sz w:val="18"/>
              </w:rPr>
            </w:r>
            <w:r>
              <w:rPr>
                <w:b w:val="0"/>
                <w:i w:val="0"/>
                <w:sz w:val="18"/>
              </w:rPr>
              <w:t>Penicillinase</w:t>
            </w:r>
          </w:p>
        </w:tc>
        <w:tc>
          <w:tcPr>
            <w:tcW w:type="dxa" w:w="5112"/>
          </w:tcPr>
          <w:p>
            <w:pPr>
              <w:spacing w:after="40"/>
            </w:pPr>
            <w:r>
              <w:rPr>
                <w:sz w:val="18"/>
              </w:rPr>
            </w:r>
            <w:r>
              <w:rPr>
                <w:b w:val="0"/>
                <w:i w:val="0"/>
                <w:sz w:val="18"/>
              </w:rPr>
              <w:t>Inactivates penicillin (beta-lactamase behaves similarly)</w:t>
            </w:r>
          </w:p>
        </w:tc>
      </w:tr>
      <w:tr>
        <w:tc>
          <w:tcPr>
            <w:tcW w:type="dxa" w:w="5112"/>
          </w:tcPr>
          <w:p>
            <w:pPr>
              <w:spacing w:after="40"/>
            </w:pPr>
            <w:r>
              <w:rPr>
                <w:sz w:val="18"/>
              </w:rPr>
            </w:r>
            <w:r>
              <w:rPr>
                <w:b w:val="0"/>
                <w:i w:val="0"/>
                <w:sz w:val="18"/>
              </w:rPr>
              <w:t>Hemolysins (alpha, beta, gamma, delta)</w:t>
            </w:r>
          </w:p>
        </w:tc>
        <w:tc>
          <w:tcPr>
            <w:tcW w:type="dxa" w:w="5112"/>
          </w:tcPr>
          <w:p>
            <w:pPr>
              <w:spacing w:after="40"/>
            </w:pPr>
            <w:r>
              <w:rPr>
                <w:sz w:val="18"/>
              </w:rPr>
            </w:r>
            <w:r>
              <w:rPr>
                <w:b w:val="0"/>
                <w:i w:val="0"/>
                <w:sz w:val="18"/>
              </w:rPr>
              <w:t>Lyse red blood cells — visible on blood agar</w:t>
            </w:r>
          </w:p>
        </w:tc>
      </w:tr>
      <w:tr>
        <w:tc>
          <w:tcPr>
            <w:tcW w:type="dxa" w:w="5112"/>
          </w:tcPr>
          <w:p>
            <w:pPr>
              <w:spacing w:after="40"/>
            </w:pPr>
            <w:r>
              <w:rPr>
                <w:sz w:val="18"/>
              </w:rPr>
            </w:r>
            <w:r>
              <w:rPr>
                <w:b/>
                <w:i w:val="0"/>
                <w:sz w:val="18"/>
              </w:rPr>
              <w:t>Leukocidin</w:t>
            </w:r>
          </w:p>
        </w:tc>
        <w:tc>
          <w:tcPr>
            <w:tcW w:type="dxa" w:w="5112"/>
          </w:tcPr>
          <w:p>
            <w:pPr>
              <w:spacing w:after="40"/>
            </w:pPr>
            <w:r>
              <w:rPr>
                <w:sz w:val="18"/>
              </w:rPr>
            </w:r>
            <w:r>
              <w:rPr>
                <w:b w:val="0"/>
                <w:i w:val="0"/>
                <w:sz w:val="18"/>
              </w:rPr>
              <w:t xml:space="preserve">Lyses leukocytes, especially </w:t>
            </w:r>
            <w:r>
              <w:rPr>
                <w:b/>
                <w:i w:val="0"/>
                <w:sz w:val="18"/>
              </w:rPr>
              <w:t>neutrophils and macrophages</w:t>
            </w:r>
          </w:p>
        </w:tc>
      </w:tr>
      <w:tr>
        <w:tc>
          <w:tcPr>
            <w:tcW w:type="dxa" w:w="5112"/>
          </w:tcPr>
          <w:p>
            <w:pPr>
              <w:spacing w:after="40"/>
            </w:pPr>
            <w:r>
              <w:rPr>
                <w:sz w:val="18"/>
              </w:rPr>
            </w:r>
            <w:r>
              <w:rPr>
                <w:b/>
                <w:i w:val="0"/>
                <w:sz w:val="18"/>
              </w:rPr>
              <w:t>Enterotoxin</w:t>
            </w:r>
          </w:p>
        </w:tc>
        <w:tc>
          <w:tcPr>
            <w:tcW w:type="dxa" w:w="5112"/>
          </w:tcPr>
          <w:p>
            <w:pPr>
              <w:spacing w:after="40"/>
            </w:pPr>
            <w:r>
              <w:rPr>
                <w:sz w:val="18"/>
              </w:rPr>
            </w:r>
            <w:r>
              <w:rPr>
                <w:b w:val="0"/>
                <w:i w:val="0"/>
                <w:sz w:val="18"/>
              </w:rPr>
              <w:t>Induces gastrointestinal distress (food intoxication)</w:t>
            </w:r>
          </w:p>
        </w:tc>
      </w:tr>
      <w:tr>
        <w:tc>
          <w:tcPr>
            <w:tcW w:type="dxa" w:w="5112"/>
          </w:tcPr>
          <w:p>
            <w:pPr>
              <w:spacing w:after="40"/>
            </w:pPr>
            <w:r>
              <w:rPr>
                <w:sz w:val="18"/>
              </w:rPr>
            </w:r>
            <w:r>
              <w:rPr>
                <w:b/>
                <w:i w:val="0"/>
                <w:sz w:val="18"/>
              </w:rPr>
              <w:t>Exfoliative toxin</w:t>
            </w:r>
          </w:p>
        </w:tc>
        <w:tc>
          <w:tcPr>
            <w:tcW w:type="dxa" w:w="5112"/>
          </w:tcPr>
          <w:p>
            <w:pPr>
              <w:spacing w:after="40"/>
            </w:pPr>
            <w:r>
              <w:rPr>
                <w:sz w:val="18"/>
              </w:rPr>
            </w:r>
            <w:r>
              <w:rPr>
                <w:b/>
                <w:i w:val="0"/>
                <w:sz w:val="18"/>
              </w:rPr>
              <w:t>Splits the upper layers of the epidermis apart</w:t>
            </w:r>
            <w:r>
              <w:rPr>
                <w:b w:val="0"/>
                <w:i w:val="0"/>
                <w:sz w:val="18"/>
              </w:rPr>
              <w:t xml:space="preserve"> (scalded skin syndrome); the slide says it separates the epidermis from the dermis</w:t>
            </w:r>
          </w:p>
        </w:tc>
      </w:tr>
      <w:tr>
        <w:tc>
          <w:tcPr>
            <w:tcW w:type="dxa" w:w="5112"/>
          </w:tcPr>
          <w:p>
            <w:pPr>
              <w:spacing w:after="40"/>
            </w:pPr>
            <w:r>
              <w:rPr>
                <w:sz w:val="18"/>
              </w:rPr>
            </w:r>
            <w:r>
              <w:rPr>
                <w:b w:val="0"/>
                <w:i w:val="0"/>
                <w:sz w:val="18"/>
              </w:rPr>
              <w:t>Toxic shock syndrome toxin</w:t>
            </w:r>
          </w:p>
        </w:tc>
        <w:tc>
          <w:tcPr>
            <w:tcW w:type="dxa" w:w="5112"/>
          </w:tcPr>
          <w:p>
            <w:pPr>
              <w:spacing w:after="40"/>
            </w:pPr>
            <w:r>
              <w:rPr>
                <w:sz w:val="18"/>
              </w:rPr>
            </w:r>
            <w:r>
              <w:rPr>
                <w:b w:val="0"/>
                <w:i w:val="0"/>
                <w:sz w:val="18"/>
              </w:rPr>
              <w:t xml:space="preserve">Induces </w:t>
            </w:r>
            <w:r>
              <w:rPr>
                <w:b/>
                <w:i w:val="0"/>
                <w:sz w:val="18"/>
              </w:rPr>
              <w:t>fever, vomiting, shock</w:t>
            </w:r>
            <w:r>
              <w:rPr>
                <w:b w:val="0"/>
                <w:i w:val="0"/>
                <w:sz w:val="18"/>
              </w:rPr>
              <w:t xml:space="preserve"> and systemic organ damage</w:t>
            </w:r>
          </w:p>
        </w:tc>
      </w:tr>
    </w:tbl>
    <w:p>
      <w:pPr>
        <w:spacing w:after="80"/>
      </w:pPr>
    </w:p>
    <w:p>
      <w:pPr>
        <w:spacing w:after="120"/>
      </w:pPr>
      <w:r>
        <w:rPr>
          <w:b/>
          <w:i w:val="0"/>
        </w:rPr>
        <w:t>Epidemiology.</w:t>
      </w:r>
      <w:r>
        <w:rPr>
          <w:b w:val="0"/>
          <w:i w:val="0"/>
        </w:rPr>
        <w:t xml:space="preserve"> Present in most environments frequented by humans and readily isolated from fomites. </w:t>
      </w:r>
      <w:r>
        <w:rPr>
          <w:b/>
          <w:i w:val="0"/>
        </w:rPr>
        <w:t>Carriage rate in healthy adults is 20–60%</w:t>
      </w:r>
      <w:r>
        <w:rPr>
          <w:b w:val="0"/>
          <w:i w:val="0"/>
        </w:rPr>
        <w:t xml:space="preserve">, mostly in the </w:t>
      </w:r>
      <w:r>
        <w:rPr>
          <w:b/>
          <w:i w:val="0"/>
        </w:rPr>
        <w:t>anterior nares</w:t>
      </w:r>
      <w:r>
        <w:rPr>
          <w:b w:val="0"/>
          <w:i w:val="0"/>
        </w:rPr>
        <w:t xml:space="preserve">, skin, nasopharynx and intestines. Predispositions: poor hygiene and nutrition, tissue injury, a preexisting primary infection, diabetes, immunodeficiency. Methicillin resistance is increasingly </w:t>
      </w:r>
      <w:r>
        <w:rPr>
          <w:b/>
          <w:i w:val="0"/>
        </w:rPr>
        <w:t>community acquired</w:t>
      </w:r>
      <w:r>
        <w:rPr>
          <w:b w:val="0"/>
          <w:i w:val="0"/>
        </w:rPr>
        <w:t>, no longer just hospital acquired, so strains are designated community-acquired or hospital-acquired.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Superficial inflammation of a hair follicle; usually resolves, can progress</w:t>
            </w:r>
          </w:p>
        </w:tc>
      </w:tr>
      <w:tr>
        <w:tc>
          <w:tcPr>
            <w:tcW w:type="dxa" w:w="5112"/>
          </w:tcPr>
          <w:p>
            <w:pPr>
              <w:spacing w:after="40"/>
            </w:pPr>
            <w:r>
              <w:rPr>
                <w:sz w:val="18"/>
              </w:rPr>
            </w:r>
            <w:r>
              <w:rPr>
                <w:b/>
                <w:i w:val="0"/>
                <w:sz w:val="18"/>
              </w:rPr>
              <w:t>Furuncle</w:t>
            </w:r>
          </w:p>
        </w:tc>
        <w:tc>
          <w:tcPr>
            <w:tcW w:type="dxa" w:w="5112"/>
          </w:tcPr>
          <w:p>
            <w:pPr>
              <w:spacing w:after="40"/>
            </w:pPr>
            <w:r>
              <w:rPr>
                <w:sz w:val="18"/>
              </w:rPr>
            </w:r>
            <w:r>
              <w:rPr>
                <w:b w:val="0"/>
                <w:i w:val="0"/>
                <w:sz w:val="18"/>
              </w:rPr>
              <w:t xml:space="preserve">A </w:t>
            </w:r>
            <w:r>
              <w:rPr>
                <w:b/>
                <w:i w:val="0"/>
                <w:sz w:val="18"/>
              </w:rPr>
              <w:t>boil</w:t>
            </w:r>
            <w:r>
              <w:rPr>
                <w:b w:val="0"/>
                <w:i w:val="0"/>
                <w:sz w:val="18"/>
              </w:rPr>
              <w:t>: inflammation of a hair follicle or sebaceous gland progresses into an abscess or pustule</w:t>
            </w:r>
          </w:p>
        </w:tc>
      </w:tr>
      <w:tr>
        <w:tc>
          <w:tcPr>
            <w:tcW w:type="dxa" w:w="5112"/>
          </w:tcPr>
          <w:p>
            <w:pPr>
              <w:spacing w:after="40"/>
            </w:pPr>
            <w:r>
              <w:rPr>
                <w:sz w:val="18"/>
              </w:rPr>
            </w:r>
            <w:r>
              <w:rPr>
                <w:b/>
                <w:i w:val="0"/>
                <w:sz w:val="18"/>
              </w:rPr>
              <w:t>Carbuncle</w:t>
            </w:r>
          </w:p>
        </w:tc>
        <w:tc>
          <w:tcPr>
            <w:tcW w:type="dxa" w:w="5112"/>
          </w:tcPr>
          <w:p>
            <w:pPr>
              <w:spacing w:after="40"/>
            </w:pPr>
            <w:r>
              <w:rPr>
                <w:sz w:val="18"/>
              </w:rPr>
            </w:r>
            <w:r>
              <w:rPr>
                <w:b w:val="0"/>
                <w:i w:val="0"/>
                <w:sz w:val="18"/>
              </w:rPr>
              <w:t xml:space="preserve">Larger, deeper lesion from the </w:t>
            </w:r>
            <w:r>
              <w:rPr>
                <w:b/>
                <w:i w:val="0"/>
                <w:sz w:val="18"/>
              </w:rPr>
              <w:t>aggregation and interconnection of a cluster of furuncles</w:t>
            </w:r>
          </w:p>
        </w:tc>
      </w:tr>
      <w:tr>
        <w:tc>
          <w:tcPr>
            <w:tcW w:type="dxa" w:w="5112"/>
          </w:tcPr>
          <w:p>
            <w:pPr>
              <w:spacing w:after="40"/>
            </w:pPr>
            <w:r>
              <w:rPr>
                <w:sz w:val="18"/>
              </w:rPr>
            </w:r>
            <w:r>
              <w:rPr>
                <w:b w:val="0"/>
                <w:i w:val="0"/>
                <w:sz w:val="18"/>
              </w:rPr>
              <w:t>Impetigo</w:t>
            </w:r>
          </w:p>
        </w:tc>
        <w:tc>
          <w:tcPr>
            <w:tcW w:type="dxa" w:w="5112"/>
          </w:tcPr>
          <w:p>
            <w:pPr>
              <w:spacing w:after="40"/>
            </w:pPr>
            <w:r>
              <w:rPr>
                <w:sz w:val="18"/>
              </w:rPr>
            </w:r>
            <w:r>
              <w:rPr>
                <w:b w:val="0"/>
                <w:i w:val="0"/>
                <w:sz w:val="18"/>
              </w:rPr>
              <w:t>Bubble-like swellings that break and peel away; most common in newborns</w:t>
            </w:r>
          </w:p>
        </w:tc>
      </w:tr>
      <w:tr>
        <w:tc>
          <w:tcPr>
            <w:tcW w:type="dxa" w:w="5112"/>
          </w:tcPr>
          <w:p>
            <w:pPr>
              <w:spacing w:after="40"/>
            </w:pPr>
            <w:r>
              <w:rPr>
                <w:sz w:val="18"/>
              </w:rPr>
            </w:r>
            <w:r>
              <w:rPr>
                <w:b/>
                <w:i w:val="0"/>
                <w:sz w:val="18"/>
              </w:rPr>
              <w:t>Osteomyelitis</w:t>
            </w:r>
          </w:p>
        </w:tc>
        <w:tc>
          <w:tcPr>
            <w:tcW w:type="dxa" w:w="5112"/>
          </w:tcPr>
          <w:p>
            <w:pPr>
              <w:spacing w:after="40"/>
            </w:pPr>
            <w:r>
              <w:rPr>
                <w:sz w:val="18"/>
              </w:rPr>
            </w:r>
            <w:r>
              <w:rPr>
                <w:b w:val="0"/>
                <w:i w:val="0"/>
                <w:sz w:val="18"/>
              </w:rPr>
              <w:t xml:space="preserve">Infection is established in the </w:t>
            </w:r>
            <w:r>
              <w:rPr>
                <w:b/>
                <w:i w:val="0"/>
                <w:sz w:val="18"/>
              </w:rPr>
              <w:t>metaphysis</w:t>
            </w:r>
            <w:r>
              <w:rPr>
                <w:b w:val="0"/>
                <w:i w:val="0"/>
                <w:sz w:val="18"/>
              </w:rPr>
              <w:t xml:space="preserve"> and an abscess forms</w:t>
            </w:r>
          </w:p>
        </w:tc>
      </w:tr>
      <w:tr>
        <w:tc>
          <w:tcPr>
            <w:tcW w:type="dxa" w:w="5112"/>
          </w:tcPr>
          <w:p>
            <w:pPr>
              <w:spacing w:after="40"/>
            </w:pPr>
            <w:r>
              <w:rPr>
                <w:sz w:val="18"/>
              </w:rPr>
            </w:r>
            <w:r>
              <w:rPr>
                <w:b w:val="0"/>
                <w:i w:val="0"/>
                <w:sz w:val="18"/>
              </w:rPr>
              <w:t>Bacteremia</w:t>
            </w:r>
          </w:p>
        </w:tc>
        <w:tc>
          <w:tcPr>
            <w:tcW w:type="dxa" w:w="5112"/>
          </w:tcPr>
          <w:p>
            <w:pPr>
              <w:spacing w:after="40"/>
            </w:pPr>
            <w:r>
              <w:rPr>
                <w:sz w:val="18"/>
              </w:rPr>
            </w:r>
            <w:r>
              <w:rPr>
                <w:b w:val="0"/>
                <w:i w:val="0"/>
                <w:sz w:val="18"/>
              </w:rPr>
              <w:t xml:space="preserve">Bacteria in the blood; primary origin is </w:t>
            </w:r>
            <w:r>
              <w:rPr>
                <w:b/>
                <w:i w:val="0"/>
                <w:sz w:val="18"/>
              </w:rPr>
              <w:t>another infected site or medical devices</w:t>
            </w:r>
            <w:r>
              <w:rPr>
                <w:b w:val="0"/>
                <w:i w:val="0"/>
                <w:sz w:val="18"/>
              </w:rPr>
              <w:t>; endocarditis is a possible complication</w:t>
            </w:r>
          </w:p>
        </w:tc>
      </w:tr>
      <w:tr>
        <w:tc>
          <w:tcPr>
            <w:tcW w:type="dxa" w:w="5112"/>
          </w:tcPr>
          <w:p>
            <w:pPr>
              <w:spacing w:after="40"/>
            </w:pPr>
            <w:r>
              <w:rPr>
                <w:sz w:val="18"/>
              </w:rPr>
            </w:r>
            <w:r>
              <w:rPr>
                <w:b w:val="0"/>
                <w:i w:val="0"/>
                <w:sz w:val="18"/>
              </w:rPr>
              <w:t>Food intoxication</w:t>
            </w:r>
          </w:p>
        </w:tc>
        <w:tc>
          <w:tcPr>
            <w:tcW w:type="dxa" w:w="5112"/>
          </w:tcPr>
          <w:p>
            <w:pPr>
              <w:spacing w:after="40"/>
            </w:pPr>
            <w:r>
              <w:rPr>
                <w:sz w:val="18"/>
              </w:rPr>
            </w:r>
            <w:r>
              <w:rPr>
                <w:b w:val="0"/>
                <w:i w:val="0"/>
                <w:sz w:val="18"/>
              </w:rPr>
              <w:t xml:space="preserve">Ingestion of </w:t>
            </w:r>
            <w:r>
              <w:rPr>
                <w:b/>
                <w:i w:val="0"/>
                <w:sz w:val="18"/>
              </w:rPr>
              <w:t>heat-stable enterotoxins</w:t>
            </w:r>
            <w:r>
              <w:rPr>
                <w:b w:val="0"/>
                <w:i w:val="0"/>
                <w:sz w:val="18"/>
              </w:rPr>
              <w:t xml:space="preserve"> causes gastrointestinal distress</w:t>
            </w:r>
          </w:p>
        </w:tc>
      </w:tr>
      <w:tr>
        <w:tc>
          <w:tcPr>
            <w:tcW w:type="dxa" w:w="5112"/>
          </w:tcPr>
          <w:p>
            <w:pPr>
              <w:spacing w:after="40"/>
            </w:pPr>
            <w:r>
              <w:rPr>
                <w:sz w:val="18"/>
              </w:rPr>
            </w:r>
            <w:r>
              <w:rPr>
                <w:b w:val="0"/>
                <w:i w:val="0"/>
                <w:sz w:val="18"/>
              </w:rPr>
              <w:t>Scalded skin syndrome</w:t>
            </w:r>
          </w:p>
        </w:tc>
        <w:tc>
          <w:tcPr>
            <w:tcW w:type="dxa" w:w="5112"/>
          </w:tcPr>
          <w:p>
            <w:pPr>
              <w:spacing w:after="40"/>
            </w:pPr>
            <w:r>
              <w:rPr>
                <w:sz w:val="18"/>
              </w:rPr>
            </w:r>
            <w:r>
              <w:rPr>
                <w:b w:val="0"/>
                <w:i w:val="0"/>
                <w:sz w:val="18"/>
              </w:rPr>
              <w:t>Toxin induces a bright red flush, blisters, then desquamation of the epidermis</w:t>
            </w:r>
          </w:p>
        </w:tc>
      </w:tr>
      <w:tr>
        <w:tc>
          <w:tcPr>
            <w:tcW w:type="dxa" w:w="5112"/>
          </w:tcPr>
          <w:p>
            <w:pPr>
              <w:spacing w:after="40"/>
            </w:pPr>
            <w:r>
              <w:rPr>
                <w:sz w:val="18"/>
              </w:rPr>
            </w:r>
            <w:r>
              <w:rPr>
                <w:b w:val="0"/>
                <w:i w:val="0"/>
                <w:sz w:val="18"/>
              </w:rPr>
              <w:t>Toxic shock syndrome</w:t>
            </w:r>
          </w:p>
        </w:tc>
        <w:tc>
          <w:tcPr>
            <w:tcW w:type="dxa" w:w="5112"/>
          </w:tcPr>
          <w:p>
            <w:pPr>
              <w:spacing w:after="40"/>
            </w:pPr>
            <w:r>
              <w:rPr>
                <w:sz w:val="18"/>
              </w:rPr>
            </w:r>
            <w:r>
              <w:rPr>
                <w:b w:val="0"/>
                <w:i w:val="0"/>
                <w:sz w:val="18"/>
              </w:rPr>
              <w:t xml:space="preserve">Toxemia leading to shock and organ failure; classically from </w:t>
            </w:r>
            <w:r>
              <w:rPr>
                <w:b/>
                <w:i w:val="0"/>
                <w:sz w:val="18"/>
              </w:rPr>
              <w:t>improper tampon use</w:t>
            </w:r>
            <w:r>
              <w:rPr>
                <w:b w:val="0"/>
                <w:i w:val="0"/>
                <w:sz w:val="18"/>
              </w:rPr>
              <w:t xml:space="preserve"> in females (see 9.11)</w:t>
            </w:r>
          </w:p>
        </w:tc>
      </w:tr>
    </w:tbl>
    <w:p>
      <w:pPr>
        <w:spacing w:after="80"/>
      </w:pPr>
    </w:p>
    <w:p>
      <w:pPr>
        <w:jc w:val="center"/>
      </w:pPr>
      <w:r>
        <w:drawing>
          <wp:inline xmlns:a="http://schemas.openxmlformats.org/drawingml/2006/main" xmlns:pic="http://schemas.openxmlformats.org/drawingml/2006/picture">
            <wp:extent cx="3840480" cy="4049715"/>
            <wp:docPr id="12" name="Picture 12"/>
            <wp:cNvGraphicFramePr>
              <a:graphicFrameLocks noChangeAspect="1"/>
            </wp:cNvGraphicFramePr>
            <a:graphic>
              <a:graphicData uri="http://schemas.openxmlformats.org/drawingml/2006/picture">
                <pic:pic>
                  <pic:nvPicPr>
                    <pic:cNvPr id="0" name="Microbiology_Exam_2_micro-exam-2-study-guide-images_l9-s11-furuncle-carbuncle.jpg"/>
                    <pic:cNvPicPr/>
                  </pic:nvPicPr>
                  <pic:blipFill>
                    <a:blip r:embed="rId20"/>
                    <a:stretch>
                      <a:fillRect/>
                    </a:stretch>
                  </pic:blipFill>
                  <pic:spPr>
                    <a:xfrm>
                      <a:off x="0" y="0"/>
                      <a:ext cx="3840480" cy="4049715"/>
                    </a:xfrm>
                    <a:prstGeom prst="rect"/>
                  </pic:spPr>
                </pic:pic>
              </a:graphicData>
            </a:graphic>
          </wp:inline>
        </w:drawing>
      </w:r>
    </w:p>
    <w:p>
      <w:pPr>
        <w:spacing w:after="160"/>
        <w:jc w:val="center"/>
      </w:pPr>
      <w:r>
        <w:rPr>
          <w:sz w:val="15"/>
        </w:rPr>
        <w:t>Furuncle against carbuncle, the pair most easily confused. The drawing is a single furuncle : one follicle, staphylococci and phagocytes walled off by fibrin into a core of pus. The photograph at lower right is a carbuncle : several furuncles joined into one deep, swollen lesion on the back of the neck. Copyright © The McGraw-Hill Companies. Source: PAJ5200.Cocci of Med importance.pptx, Slide 11.</w:t>
      </w:r>
    </w:p>
    <w:p>
      <w:pPr>
        <w:spacing w:after="120"/>
      </w:pPr>
      <w:r>
        <w:rPr>
          <w:b/>
          <w:i w:val="0"/>
        </w:rPr>
        <w:t>Treatment.</w:t>
      </w:r>
      <w:r>
        <w:rPr>
          <w:b w:val="0"/>
          <w:i w:val="0"/>
        </w:rPr>
        <w:t xml:space="preserve"> </w:t>
      </w:r>
      <w:r>
        <w:rPr>
          <w:b/>
          <w:i w:val="0"/>
        </w:rPr>
        <w:t>95% of staphylococci produce penicillinase</w:t>
      </w:r>
      <w:r>
        <w:rPr>
          <w:b w:val="0"/>
          <w:i w:val="0"/>
        </w:rPr>
        <w:t xml:space="preserve"> and are resistant to penicillin and ampicillin. Methicillin-resistant </w:t>
      </w:r>
      <w:r>
        <w:rPr>
          <w:b w:val="0"/>
          <w:i/>
        </w:rPr>
        <w:t>Staphylococcus aureus</w:t>
      </w:r>
      <w:r>
        <w:rPr>
          <w:b w:val="0"/>
          <w:i w:val="0"/>
        </w:rPr>
        <w:t xml:space="preserve"> carries multiple resistance; older teaching (and the slide) describes </w:t>
      </w:r>
      <w:r>
        <w:rPr>
          <w:b/>
          <w:i w:val="0"/>
        </w:rPr>
        <w:t>some strains as resisting all major drug groups except vancomycin</w:t>
      </w:r>
      <w:r>
        <w:rPr>
          <w:b w:val="0"/>
          <w:i w:val="0"/>
        </w:rPr>
        <w:t xml:space="preserve">, but vancomycin and several newer drugs still work against most strains. Abscesses have to be </w:t>
      </w:r>
      <w:r>
        <w:rPr>
          <w:b/>
          <w:i w:val="0"/>
        </w:rPr>
        <w:t>surgically perforated</w:t>
      </w:r>
      <w:r>
        <w:rPr>
          <w:b w:val="0"/>
          <w:i w:val="0"/>
        </w:rPr>
        <w:t>, and the wounds kept thoroughly clean and covered. Systemic infections may need intensive, lengthy antimicrobial therapy.</w:t>
      </w:r>
    </w:p>
    <w:p>
      <w:pPr>
        <w:spacing w:after="120"/>
      </w:pPr>
      <w:r>
        <w:rPr>
          <w:b/>
          <w:i w:val="0"/>
        </w:rPr>
        <w:t>Prevention.</w:t>
      </w:r>
      <w:r>
        <w:rPr>
          <w:b w:val="0"/>
          <w:i w:val="0"/>
        </w:rPr>
        <w:t xml:space="preserve"> </w:t>
      </w:r>
      <w:r>
        <w:rPr>
          <w:b/>
          <w:i w:val="0"/>
        </w:rPr>
        <w:t>Universal precautions</w:t>
      </w:r>
      <w:r>
        <w:rPr>
          <w:b w:val="0"/>
          <w:i w:val="0"/>
        </w:rPr>
        <w:t xml:space="preserve"> by healthcare providers prevent, or at least reduce, </w:t>
      </w:r>
      <w:r>
        <w:rPr>
          <w:b/>
          <w:i w:val="0"/>
        </w:rPr>
        <w:t>nosocomial infections</w:t>
      </w:r>
      <w:r>
        <w:rPr>
          <w:b w:val="0"/>
          <w:i w:val="0"/>
        </w:rPr>
        <w:t xml:space="preserve">. Appropriate personal hygiene, and </w:t>
      </w:r>
      <w:r>
        <w:rPr>
          <w:b/>
          <w:i w:val="0"/>
        </w:rPr>
        <w:t>not sharing towels, washcloths, razors or toothbrushes</w:t>
      </w:r>
      <w:r>
        <w:rPr>
          <w:b w:val="0"/>
          <w:i w:val="0"/>
        </w:rPr>
        <w:t>.</w:t>
      </w:r>
    </w:p>
    <w:p>
      <w:pPr>
        <w:spacing w:after="120"/>
      </w:pPr>
      <w:r>
        <w:rPr>
          <w:b/>
          <w:i w:val="0"/>
        </w:rPr>
        <w:t>Identification.</w:t>
      </w:r>
      <w:r>
        <w:rPr>
          <w:b w:val="0"/>
          <w:i w:val="0"/>
        </w:rPr>
        <w:t xml:space="preserve"> Staphylococci may be isolated from pus, tissue exudates, sputum, urine and blood, and are identified by cultivation, the </w:t>
      </w:r>
      <w:r>
        <w:rPr>
          <w:b w:val="0"/>
          <w:i w:val="0"/>
          <w:highlight w:val="yellow"/>
        </w:rPr>
        <w:t>catalase reaction</w:t>
      </w:r>
      <w:r>
        <w:rPr>
          <w:b w:val="0"/>
          <w:i w:val="0"/>
        </w:rPr>
        <w:t>, biochemical testing and the coagulase reaction.</w:t>
      </w:r>
    </w:p>
    <w:p>
      <w:pPr>
        <w:jc w:val="center"/>
      </w:pPr>
      <w:r>
        <w:drawing>
          <wp:inline xmlns:a="http://schemas.openxmlformats.org/drawingml/2006/main" xmlns:pic="http://schemas.openxmlformats.org/drawingml/2006/picture">
            <wp:extent cx="3840480" cy="2313889"/>
            <wp:docPr id="13" name="Picture 13"/>
            <wp:cNvGraphicFramePr>
              <a:graphicFrameLocks noChangeAspect="1"/>
            </wp:cNvGraphicFramePr>
            <a:graphic>
              <a:graphicData uri="http://schemas.openxmlformats.org/drawingml/2006/picture">
                <pic:pic>
                  <pic:nvPicPr>
                    <pic:cNvPr id="0" name="Microbiology_Exam_2_micro-exam-2-study-guide-images_l9-s04-staphylococci.jpg"/>
                    <pic:cNvPicPr/>
                  </pic:nvPicPr>
                  <pic:blipFill>
                    <a:blip r:embed="rId21"/>
                    <a:stretch>
                      <a:fillRect/>
                    </a:stretch>
                  </pic:blipFill>
                  <pic:spPr>
                    <a:xfrm>
                      <a:off x="0" y="0"/>
                      <a:ext cx="3840480" cy="2313889"/>
                    </a:xfrm>
                    <a:prstGeom prst="rect"/>
                  </pic:spPr>
                </pic:pic>
              </a:graphicData>
            </a:graphic>
          </wp:inline>
        </w:drawing>
      </w:r>
    </w:p>
    <w:p>
      <w:pPr>
        <w:spacing w:after="160"/>
        <w:jc w:val="center"/>
      </w:pPr>
      <w:r>
        <w:rPr>
          <w:sz w:val="15"/>
        </w:rPr>
        <w:t>What “irregular clusters” looks like. The Gram stain (left) shows purple, Gram-positive spheres piled into clumps rather than lined up; the scanning micrograph (right) shows the same grape-like clusters in three dimensions. Compare the chains of slide 22 in 9.4. Copyright © The McGraw-Hill Companies. Source: PAJ5200.Cocci of Med importance.pptx, Slide 4.</w:t>
      </w:r>
    </w:p>
    <w:p>
      <w:pPr>
        <w:pStyle w:val="Heading2"/>
        <w:spacing w:before="200" w:after="100"/>
      </w:pPr>
      <w:r>
        <w:rPr>
          <w:rFonts w:ascii="Georgia" w:hAnsi="Georgia"/>
          <w:color w:val="1F4D2B"/>
        </w:rPr>
        <w:t>9.3 · Objective 1 — The coagulase-negative staphylococci</w:t>
      </w:r>
    </w:p>
    <w:p>
      <w:pPr>
        <w:spacing w:after="120"/>
      </w:pPr>
      <w:r>
        <w:rPr>
          <w:b w:val="0"/>
          <w:i w:val="0"/>
        </w:rPr>
        <w:t xml:space="preserve">Coagulase-negative staphylococci are frequently implicated in </w:t>
      </w:r>
      <w:r>
        <w:rPr>
          <w:b/>
          <w:i w:val="0"/>
        </w:rPr>
        <w:t>nosocomial and opportunistic infections</w:t>
      </w:r>
      <w:r>
        <w:rPr>
          <w:b w:val="0"/>
          <w:i w:val="0"/>
        </w:rPr>
        <w:t xml:space="preserve">, and they often initiate </w:t>
      </w:r>
      <w:r>
        <w:rPr>
          <w:b/>
          <w:i w:val="0"/>
        </w:rPr>
        <w:t>polymicrobial biofilms</w:t>
      </w:r>
      <w:r>
        <w:rPr>
          <w:b w:val="0"/>
          <w:i w:val="0"/>
        </w:rPr>
        <w:t>, which can lead to further medical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Where it lives</w:t>
            </w:r>
          </w:p>
        </w:tc>
        <w:tc>
          <w:tcPr>
            <w:tcW w:type="dxa" w:w="3408"/>
            <w:shd w:val="clear" w:color="auto" w:fill="1F4D2B"/>
          </w:tcPr>
          <w:p>
            <w:pPr>
              <w:spacing w:after="40"/>
            </w:pPr>
            <w:r>
              <w:rPr>
                <w:b/>
                <w:color w:val="FFFFFF"/>
                <w:sz w:val="18"/>
              </w:rPr>
            </w:r>
            <w:r>
              <w:rPr>
                <w:b/>
                <w:i w:val="0"/>
                <w:color w:val="FFFFFF"/>
                <w:sz w:val="18"/>
              </w:rPr>
              <w:t>Disease</w:t>
            </w:r>
          </w:p>
        </w:tc>
      </w:tr>
      <w:tr>
        <w:tc>
          <w:tcPr>
            <w:tcW w:type="dxa" w:w="3408"/>
          </w:tcPr>
          <w:p>
            <w:pPr>
              <w:spacing w:after="40"/>
            </w:pPr>
            <w:r>
              <w:rPr>
                <w:sz w:val="18"/>
              </w:rPr>
            </w:r>
            <w:r>
              <w:rPr>
                <w:b w:val="0"/>
                <w:i/>
                <w:sz w:val="18"/>
              </w:rPr>
              <w:t>Staphylococcus epidermidis</w:t>
            </w:r>
          </w:p>
        </w:tc>
        <w:tc>
          <w:tcPr>
            <w:tcW w:type="dxa" w:w="3408"/>
          </w:tcPr>
          <w:p>
            <w:pPr>
              <w:spacing w:after="40"/>
            </w:pPr>
            <w:r>
              <w:rPr>
                <w:sz w:val="18"/>
              </w:rPr>
            </w:r>
            <w:r>
              <w:rPr>
                <w:b/>
                <w:i w:val="0"/>
                <w:sz w:val="18"/>
              </w:rPr>
              <w:t>Skin and mucous membranes</w:t>
            </w:r>
          </w:p>
        </w:tc>
        <w:tc>
          <w:tcPr>
            <w:tcW w:type="dxa" w:w="3408"/>
          </w:tcPr>
          <w:p>
            <w:pPr>
              <w:spacing w:after="40"/>
            </w:pPr>
            <w:r>
              <w:rPr>
                <w:sz w:val="18"/>
              </w:rPr>
            </w:r>
            <w:r>
              <w:rPr>
                <w:b/>
                <w:i w:val="0"/>
                <w:sz w:val="18"/>
              </w:rPr>
              <w:t>Endocarditis, bacteremia, urinary tract infection</w:t>
            </w:r>
            <w:r>
              <w:rPr>
                <w:b w:val="0"/>
                <w:i w:val="0"/>
                <w:sz w:val="18"/>
              </w:rPr>
              <w:t>; wound infection</w:t>
            </w:r>
          </w:p>
        </w:tc>
      </w:tr>
      <w:tr>
        <w:tc>
          <w:tcPr>
            <w:tcW w:type="dxa" w:w="3408"/>
          </w:tcPr>
          <w:p>
            <w:pPr>
              <w:spacing w:after="40"/>
            </w:pPr>
            <w:r>
              <w:rPr>
                <w:sz w:val="18"/>
              </w:rPr>
            </w:r>
            <w:r>
              <w:rPr>
                <w:b w:val="0"/>
                <w:i/>
                <w:sz w:val="18"/>
              </w:rPr>
              <w:t>Staphylococcus hominis</w:t>
            </w:r>
          </w:p>
        </w:tc>
        <w:tc>
          <w:tcPr>
            <w:tcW w:type="dxa" w:w="3408"/>
          </w:tcPr>
          <w:p>
            <w:pPr>
              <w:spacing w:after="40"/>
            </w:pPr>
            <w:r>
              <w:rPr>
                <w:sz w:val="18"/>
              </w:rPr>
            </w:r>
            <w:r>
              <w:rPr>
                <w:b w:val="0"/>
                <w:i w:val="0"/>
                <w:sz w:val="18"/>
              </w:rPr>
              <w:t xml:space="preserve">Around the </w:t>
            </w:r>
            <w:r>
              <w:rPr>
                <w:b/>
                <w:i w:val="0"/>
                <w:sz w:val="18"/>
              </w:rPr>
              <w:t>apocrine sweat glands</w:t>
            </w:r>
            <w:r>
              <w:rPr>
                <w:b w:val="0"/>
                <w:i w:val="0"/>
                <w:sz w:val="18"/>
              </w:rPr>
              <w:t xml:space="preserve"> of the armpits and groin, which produce sweat with a </w:t>
            </w:r>
            <w:r>
              <w:rPr>
                <w:b/>
                <w:i w:val="0"/>
                <w:sz w:val="18"/>
              </w:rPr>
              <w:t>higher lipid content</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capitis</w:t>
            </w:r>
          </w:p>
        </w:tc>
        <w:tc>
          <w:tcPr>
            <w:tcW w:type="dxa" w:w="3408"/>
          </w:tcPr>
          <w:p>
            <w:pPr>
              <w:spacing w:after="40"/>
            </w:pPr>
            <w:r>
              <w:rPr>
                <w:sz w:val="18"/>
              </w:rPr>
            </w:r>
            <w:r>
              <w:rPr>
                <w:b/>
                <w:i w:val="0"/>
                <w:sz w:val="18"/>
              </w:rPr>
              <w:t>Scalp, face, external ear</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saprophyticus</w:t>
            </w:r>
          </w:p>
        </w:tc>
        <w:tc>
          <w:tcPr>
            <w:tcW w:type="dxa" w:w="3408"/>
          </w:tcPr>
          <w:p>
            <w:pPr>
              <w:spacing w:after="40"/>
            </w:pPr>
            <w:r>
              <w:rPr>
                <w:sz w:val="18"/>
              </w:rPr>
            </w:r>
            <w:r>
              <w:rPr>
                <w:b w:val="0"/>
                <w:i w:val="0"/>
                <w:sz w:val="18"/>
              </w:rPr>
              <w:t xml:space="preserve">Infrequently on </w:t>
            </w:r>
            <w:r>
              <w:rPr>
                <w:b/>
                <w:i w:val="0"/>
                <w:sz w:val="18"/>
              </w:rPr>
              <w:t>skin, intestine, vagina</w:t>
            </w:r>
          </w:p>
        </w:tc>
        <w:tc>
          <w:tcPr>
            <w:tcW w:type="dxa" w:w="3408"/>
          </w:tcPr>
          <w:p>
            <w:pPr>
              <w:spacing w:after="40"/>
            </w:pPr>
            <w:r>
              <w:rPr>
                <w:sz w:val="18"/>
              </w:rPr>
            </w:r>
            <w:r>
              <w:rPr>
                <w:b/>
                <w:i w:val="0"/>
                <w:sz w:val="18"/>
              </w:rPr>
              <w:t>May cause urinary tract infection</w:t>
            </w:r>
          </w:p>
        </w:tc>
      </w:tr>
    </w:tbl>
    <w:p>
      <w:pPr>
        <w:spacing w:after="80"/>
      </w:pPr>
    </w:p>
    <w:p>
      <w:pPr>
        <w:spacing w:after="120"/>
      </w:pPr>
      <w:r>
        <w:rPr>
          <w:b w:val="0"/>
          <w:i w:val="0"/>
        </w:rPr>
        <w:t>The first three (</w:t>
      </w:r>
      <w:r>
        <w:rPr>
          <w:b w:val="0"/>
          <w:i/>
        </w:rPr>
        <w:t>epidermidis, hominis, capitis</w:t>
      </w:r>
      <w:r>
        <w:rPr>
          <w:b w:val="0"/>
          <w:i w:val="0"/>
        </w:rPr>
        <w:t xml:space="preserve">) may all cause </w:t>
      </w:r>
      <w:r>
        <w:rPr>
          <w:b/>
          <w:i w:val="0"/>
        </w:rPr>
        <w:t>wound infections by penetrating broken skin</w:t>
      </w:r>
      <w:r>
        <w:rPr>
          <w:b w:val="0"/>
          <w:i w:val="0"/>
        </w:rPr>
        <w:t>.</w:t>
      </w:r>
    </w:p>
    <w:p>
      <w:pPr>
        <w:pStyle w:val="Heading2"/>
        <w:spacing w:before="200" w:after="100"/>
      </w:pPr>
      <w:r>
        <w:rPr>
          <w:rFonts w:ascii="Georgia" w:hAnsi="Georgia"/>
          <w:color w:val="1F4D2B"/>
        </w:rPr>
        <w:t>9.4 · Objective 1 — Streptococci in general: Lancefield groups and hemolysis</w:t>
      </w:r>
    </w:p>
    <w:p>
      <w:pPr>
        <w:spacing w:after="120"/>
      </w:pPr>
      <w:r>
        <w:rPr>
          <w:b w:val="0"/>
          <w:i w:val="0"/>
        </w:rPr>
        <w:t xml:space="preserve">Streptococci are Gram-positive spherical or ovoid cocci in long chains, commonly found in pairs; non-spore-forming, nonmotile; can form capsules and slime layers; </w:t>
      </w:r>
      <w:r>
        <w:rPr>
          <w:b/>
          <w:i w:val="0"/>
        </w:rPr>
        <w:t>facultative anaerobes</w:t>
      </w:r>
      <w:r>
        <w:rPr>
          <w:b w:val="0"/>
          <w:i w:val="0"/>
        </w:rPr>
        <w:t xml:space="preserve">. They </w:t>
      </w:r>
      <w:r>
        <w:rPr>
          <w:b w:val="0"/>
          <w:i w:val="0"/>
          <w:highlight w:val="yellow"/>
        </w:rPr>
        <w:t>do not produce catalase (catalase negative)</w:t>
      </w:r>
      <w:r>
        <w:rPr>
          <w:b w:val="0"/>
          <w:i w:val="0"/>
        </w:rPr>
        <w:t xml:space="preserve"> but do have a peroxidase system. Most parasitic forms are </w:t>
      </w:r>
      <w:r>
        <w:rPr>
          <w:b/>
          <w:i w:val="0"/>
        </w:rPr>
        <w:t>fastidious and require enriched media</w:t>
      </w:r>
      <w:r>
        <w:rPr>
          <w:b w:val="0"/>
          <w:i w:val="0"/>
        </w:rPr>
        <w:t xml:space="preserve">, growing as small, nonpigmented colonies on blood agar — but they do not grow well on mannitol salts agar, which is too saline. They are </w:t>
      </w:r>
      <w:r>
        <w:rPr>
          <w:b/>
          <w:i w:val="0"/>
        </w:rPr>
        <w:t>very sensitive to drying, heat and disinfectants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Classification</w:t>
            </w:r>
          </w:p>
        </w:tc>
        <w:tc>
          <w:tcPr>
            <w:tcW w:type="dxa" w:w="5112"/>
            <w:shd w:val="clear" w:color="auto" w:fill="1F4D2B"/>
          </w:tcPr>
          <w:p>
            <w:pPr>
              <w:spacing w:after="40"/>
            </w:pPr>
            <w:r>
              <w:rPr>
                <w:b/>
                <w:color w:val="FFFFFF"/>
                <w:sz w:val="18"/>
              </w:rPr>
            </w:r>
            <w:r>
              <w:rPr>
                <w:b/>
                <w:i w:val="0"/>
                <w:color w:val="FFFFFF"/>
                <w:sz w:val="18"/>
              </w:rPr>
              <w:t>Based on</w:t>
            </w:r>
          </w:p>
        </w:tc>
      </w:tr>
      <w:tr>
        <w:tc>
          <w:tcPr>
            <w:tcW w:type="dxa" w:w="5112"/>
          </w:tcPr>
          <w:p>
            <w:pPr>
              <w:spacing w:after="40"/>
            </w:pPr>
            <w:r>
              <w:rPr>
                <w:sz w:val="18"/>
              </w:rPr>
            </w:r>
            <w:r>
              <w:rPr>
                <w:b/>
                <w:i w:val="0"/>
                <w:sz w:val="18"/>
              </w:rPr>
              <w:t>Lancefield</w:t>
            </w:r>
            <w:r>
              <w:rPr>
                <w:b w:val="0"/>
                <w:i w:val="0"/>
                <w:sz w:val="18"/>
              </w:rPr>
              <w:t xml:space="preserve"> (Rebecca Lancefield, 1933)</w:t>
            </w:r>
          </w:p>
        </w:tc>
        <w:tc>
          <w:tcPr>
            <w:tcW w:type="dxa" w:w="5112"/>
          </w:tcPr>
          <w:p>
            <w:pPr>
              <w:spacing w:after="40"/>
            </w:pPr>
            <w:r>
              <w:rPr>
                <w:sz w:val="18"/>
              </w:rPr>
            </w:r>
            <w:r>
              <w:rPr>
                <w:b/>
                <w:i w:val="0"/>
                <w:sz w:val="18"/>
              </w:rPr>
              <w:t>Cell wall antigens</w:t>
            </w:r>
            <w:r>
              <w:rPr>
                <w:b w:val="0"/>
                <w:i w:val="0"/>
                <w:sz w:val="18"/>
              </w:rPr>
              <w:t xml:space="preserve"> — the C-carbohydrates — giving groups A, B, C and so on. </w:t>
            </w:r>
            <w:r>
              <w:rPr>
                <w:b w:val="0"/>
                <w:i w:val="0"/>
                <w:sz w:val="18"/>
              </w:rPr>
              <w:t>Know A and B; the other letters are not examined.</w:t>
            </w:r>
          </w:p>
        </w:tc>
      </w:tr>
      <w:tr>
        <w:tc>
          <w:tcPr>
            <w:tcW w:type="dxa" w:w="5112"/>
          </w:tcPr>
          <w:p>
            <w:pPr>
              <w:spacing w:after="40"/>
            </w:pPr>
            <w:r>
              <w:rPr>
                <w:sz w:val="18"/>
              </w:rPr>
            </w:r>
            <w:r>
              <w:rPr>
                <w:b w:val="0"/>
                <w:i w:val="0"/>
                <w:sz w:val="18"/>
              </w:rPr>
              <w:t>Hemolysis</w:t>
            </w:r>
          </w:p>
        </w:tc>
        <w:tc>
          <w:tcPr>
            <w:tcW w:type="dxa" w:w="5112"/>
          </w:tcPr>
          <w:p>
            <w:pPr>
              <w:spacing w:after="40"/>
            </w:pPr>
            <w:r>
              <w:rPr>
                <w:sz w:val="18"/>
              </w:rPr>
            </w:r>
            <w:r>
              <w:rPr>
                <w:b w:val="0"/>
                <w:i w:val="0"/>
                <w:sz w:val="18"/>
              </w:rPr>
              <w:t xml:space="preserve">Often combined with 16S ribosomal ribonucleic acid gene sequencing. </w:t>
            </w:r>
            <w:r>
              <w:rPr>
                <w:b w:val="0"/>
                <w:i w:val="0"/>
                <w:sz w:val="18"/>
                <w:highlight w:val="yellow"/>
              </w:rPr>
              <w:t>Beta = complete hemolysis on blood agar plate</w:t>
            </w:r>
            <w:r>
              <w:rPr>
                <w:b w:val="0"/>
                <w:i w:val="0"/>
                <w:sz w:val="18"/>
              </w:rPr>
              <w:t xml:space="preserve">: groups A, B, C, G and some D. </w:t>
            </w:r>
            <w:r>
              <w:rPr>
                <w:b w:val="0"/>
                <w:i w:val="0"/>
                <w:sz w:val="18"/>
                <w:highlight w:val="yellow"/>
              </w:rPr>
              <w:t>Alpha = partial hemolysis on blood agar plate</w:t>
            </w:r>
            <w:r>
              <w:rPr>
                <w:b w:val="0"/>
                <w:i w:val="0"/>
                <w:sz w:val="18"/>
              </w:rPr>
              <w:t xml:space="preserve">: </w:t>
            </w:r>
            <w:r>
              <w:rPr>
                <w:b w:val="0"/>
                <w:i/>
                <w:sz w:val="18"/>
              </w:rPr>
              <w:t>Streptococcus pneumoniae</w:t>
            </w:r>
            <w:r>
              <w:rPr>
                <w:b w:val="0"/>
                <w:i w:val="0"/>
                <w:sz w:val="18"/>
              </w:rPr>
              <w:t xml:space="preserve"> and the others called </w:t>
            </w:r>
            <w:r>
              <w:rPr>
                <w:b/>
                <w:i w:val="0"/>
                <w:sz w:val="18"/>
              </w:rPr>
              <w:t>viridans</w:t>
            </w:r>
            <w:r>
              <w:rPr>
                <w:b w:val="0"/>
                <w:i w:val="0"/>
                <w:sz w:val="18"/>
              </w:rPr>
              <w:t xml:space="preserve"> (</w:t>
            </w:r>
            <w:r>
              <w:rPr>
                <w:b w:val="0"/>
                <w:i/>
                <w:sz w:val="18"/>
              </w:rPr>
              <w:t>viridis</w:t>
            </w:r>
            <w:r>
              <w:rPr>
                <w:b w:val="0"/>
                <w:i w:val="0"/>
                <w:sz w:val="18"/>
              </w:rPr>
              <w:t xml:space="preserve"> is Latin-derived for green, after the greenish color of partial hemolysis)</w:t>
            </w:r>
          </w:p>
        </w:tc>
      </w:tr>
    </w:tbl>
    <w:p>
      <w:pPr>
        <w:spacing w:after="80"/>
      </w:pPr>
    </w:p>
    <w:p>
      <w:pPr>
        <w:spacing w:after="120"/>
      </w:pPr>
      <w:r>
        <w:rPr>
          <w:b w:val="0"/>
          <w:i w:val="0"/>
        </w:rPr>
        <w:t xml:space="preserve">Human streptococcal pathogens: </w:t>
      </w:r>
      <w:r>
        <w:rPr>
          <w:b w:val="0"/>
          <w:i/>
        </w:rPr>
        <w:t>Streptococcus pyogenes</w:t>
      </w:r>
      <w:r>
        <w:rPr>
          <w:b w:val="0"/>
          <w:i w:val="0"/>
        </w:rPr>
        <w:t xml:space="preserve">, </w:t>
      </w:r>
      <w:r>
        <w:rPr>
          <w:b w:val="0"/>
          <w:i/>
        </w:rPr>
        <w:t>Streptococcus agalactiae</w:t>
      </w:r>
      <w:r>
        <w:rPr>
          <w:b w:val="0"/>
          <w:i w:val="0"/>
        </w:rPr>
        <w:t xml:space="preserve">, the viridans streptococci and </w:t>
      </w:r>
      <w:r>
        <w:rPr>
          <w:b w:val="0"/>
          <w:i/>
        </w:rPr>
        <w:t>Streptococcus pneumoniae</w:t>
      </w:r>
      <w:r>
        <w:rPr>
          <w:b w:val="0"/>
          <w:i w:val="0"/>
        </w:rPr>
        <w:t xml:space="preserve">, with </w:t>
      </w:r>
      <w:r>
        <w:rPr>
          <w:b w:val="0"/>
          <w:i/>
        </w:rPr>
        <w:t>Enterococcus faecalis</w:t>
      </w:r>
      <w:r>
        <w:rPr>
          <w:b w:val="0"/>
          <w:i w:val="0"/>
        </w:rPr>
        <w:t xml:space="preserve"> alongside. </w:t>
      </w:r>
      <w:r>
        <w:rPr>
          <w:b w:val="0"/>
          <w:i w:val="0"/>
          <w:highlight w:val="yellow"/>
        </w:rPr>
        <w:t>Enterococcus</w:t>
      </w:r>
      <w:r>
        <w:rPr>
          <w:b w:val="0"/>
          <w:i w:val="0"/>
        </w:rPr>
        <w:t xml:space="preserve">, with </w:t>
      </w:r>
      <w:r>
        <w:rPr>
          <w:b w:val="0"/>
          <w:i/>
        </w:rPr>
        <w:t>Lactococcus</w:t>
      </w:r>
      <w:r>
        <w:rPr>
          <w:b w:val="0"/>
          <w:i w:val="0"/>
        </w:rPr>
        <w:t xml:space="preserve">, was </w:t>
      </w:r>
      <w:r>
        <w:rPr>
          <w:b/>
          <w:i w:val="0"/>
        </w:rPr>
        <w:t xml:space="preserve">separated from </w:t>
      </w:r>
      <w:r>
        <w:rPr>
          <w:b/>
          <w:i/>
        </w:rPr>
        <w:t>Streptococcus</w:t>
      </w:r>
      <w:r>
        <w:rPr>
          <w:b/>
          <w:i w:val="0"/>
        </w:rPr>
        <w:t xml:space="preserve"> in 1984 using 16S ribosomal ribonucleic acid gene analysis</w:t>
      </w:r>
      <w:r>
        <w:rPr>
          <w:b w:val="0"/>
          <w:i w:val="0"/>
        </w:rPr>
        <w:t>; the taxonomy is still evolving.</w:t>
      </w:r>
    </w:p>
    <w:p>
      <w:pPr>
        <w:jc w:val="center"/>
      </w:pPr>
      <w:r>
        <w:drawing>
          <wp:inline xmlns:a="http://schemas.openxmlformats.org/drawingml/2006/main" xmlns:pic="http://schemas.openxmlformats.org/drawingml/2006/picture">
            <wp:extent cx="3840480" cy="2880360"/>
            <wp:docPr id="14" name="Picture 14"/>
            <wp:cNvGraphicFramePr>
              <a:graphicFrameLocks noChangeAspect="1"/>
            </wp:cNvGraphicFramePr>
            <a:graphic>
              <a:graphicData uri="http://schemas.openxmlformats.org/drawingml/2006/picture">
                <pic:pic>
                  <pic:nvPicPr>
                    <pic:cNvPr id="0" name="Microbiology_Exam_2_micro-exam-2-study-guide-images_l9-s22-streptococci.jpg"/>
                    <pic:cNvPicPr/>
                  </pic:nvPicPr>
                  <pic:blipFill>
                    <a:blip r:embed="rId22"/>
                    <a:stretch>
                      <a:fillRect/>
                    </a:stretch>
                  </pic:blipFill>
                  <pic:spPr>
                    <a:xfrm>
                      <a:off x="0" y="0"/>
                      <a:ext cx="3840480" cy="2880360"/>
                    </a:xfrm>
                    <a:prstGeom prst="rect"/>
                  </pic:spPr>
                </pic:pic>
              </a:graphicData>
            </a:graphic>
          </wp:inline>
        </w:drawing>
      </w:r>
    </w:p>
    <w:p>
      <w:pPr>
        <w:spacing w:after="160"/>
        <w:jc w:val="center"/>
      </w:pPr>
      <w:r>
        <w:rPr>
          <w:sz w:val="15"/>
        </w:rPr>
        <w:t>Freshly isolated Streptococcus : Gram-positive cocci in long chains , the arrangement that separates them at a glance from the clusters of the staphylococci. Copyright © The McGraw-Hill Companies. Source: PAJ5200.Cocci of Med importance.pptx, Slide 22.</w:t>
      </w:r>
    </w:p>
    <w:p>
      <w:pPr>
        <w:jc w:val="center"/>
      </w:pPr>
      <w:r>
        <w:drawing>
          <wp:inline xmlns:a="http://schemas.openxmlformats.org/drawingml/2006/main" xmlns:pic="http://schemas.openxmlformats.org/drawingml/2006/picture">
            <wp:extent cx="3840480" cy="2321357"/>
            <wp:docPr id="15" name="Picture 15"/>
            <wp:cNvGraphicFramePr>
              <a:graphicFrameLocks noChangeAspect="1"/>
            </wp:cNvGraphicFramePr>
            <a:graphic>
              <a:graphicData uri="http://schemas.openxmlformats.org/drawingml/2006/picture">
                <pic:pic>
                  <pic:nvPicPr>
                    <pic:cNvPr id="0" name="Microbiology_Exam_2_micro-exam-2-study-guide-images_l9-s26-streptococcus-table.jpg"/>
                    <pic:cNvPicPr/>
                  </pic:nvPicPr>
                  <pic:blipFill>
                    <a:blip r:embed="rId23"/>
                    <a:stretch>
                      <a:fillRect/>
                    </a:stretch>
                  </pic:blipFill>
                  <pic:spPr>
                    <a:xfrm>
                      <a:off x="0" y="0"/>
                      <a:ext cx="3840480" cy="2321357"/>
                    </a:xfrm>
                    <a:prstGeom prst="rect"/>
                  </pic:spPr>
                </pic:pic>
              </a:graphicData>
            </a:graphic>
          </wp:inline>
        </w:drawing>
      </w:r>
    </w:p>
    <w:p>
      <w:pPr>
        <w:spacing w:after="160"/>
        <w:jc w:val="center"/>
      </w:pPr>
      <w:r>
        <w:rPr>
          <w:sz w:val="15"/>
        </w:rPr>
        <w:t>The deck’s species table (a picture, not slide text). The bold rows are the significant human pathogens: Streptococcus pyogenes (A, beta, human throat, skin and throat infections and scarlet fever), Streptococcus agalactiae (B, beta, human vagina and cow udder, neonatal and wound infections), Enterococcus faecalis (D, human and animal intestine, endocarditis and urinary tract infection), Streptococcus sanguis and Streptococcus mutans (human oral cavity, endocarditis and dental caries) and Streptococcus pneumoniae (alpha, human respiratory tract, bacterial pneumonia). Read it for those rows; the other Lancefield letters are not examined. Copyright © The McGraw-Hill Companies. Source: PAJ5200.Cocci of Med importance.pptx, Slide 26.</w:t>
      </w:r>
    </w:p>
    <w:p>
      <w:pPr>
        <w:pStyle w:val="Heading2"/>
        <w:spacing w:before="200" w:after="100"/>
      </w:pPr>
      <w:r>
        <w:rPr>
          <w:rFonts w:ascii="Georgia" w:hAnsi="Georgia"/>
          <w:color w:val="1F4D2B"/>
        </w:rPr>
        <w:t>9.5 · Objective 1 — Streptococcus pyogenes (group A)</w:t>
      </w:r>
    </w:p>
    <w:p>
      <w:pPr>
        <w:spacing w:after="120"/>
      </w:pPr>
      <w:r>
        <w:rPr>
          <w:b w:val="0"/>
          <w:i w:val="0"/>
        </w:rPr>
        <w:t xml:space="preserve">Beta-hemolytic </w:t>
      </w:r>
      <w:r>
        <w:rPr>
          <w:b w:val="0"/>
          <w:i/>
        </w:rPr>
        <w:t>Streptococcus pyogenes</w:t>
      </w:r>
      <w:r>
        <w:rPr>
          <w:b w:val="0"/>
          <w:i w:val="0"/>
        </w:rPr>
        <w:t xml:space="preserve"> is the </w:t>
      </w:r>
      <w:r>
        <w:rPr>
          <w:b/>
          <w:i w:val="0"/>
        </w:rPr>
        <w:t>most serious of the streptococcal pathogens</w:t>
      </w:r>
      <w:r>
        <w:rPr>
          <w:b w:val="0"/>
          <w:i w:val="0"/>
        </w:rPr>
        <w:t xml:space="preserve"> — Lancefield group A, so sometimes “GAS” (group A Streptococcus). It is a </w:t>
      </w:r>
      <w:r>
        <w:rPr>
          <w:b w:val="0"/>
          <w:i w:val="0"/>
          <w:highlight w:val="yellow"/>
        </w:rPr>
        <w:t>strictly human parasite</w:t>
      </w:r>
      <w:r>
        <w:rPr>
          <w:b w:val="0"/>
          <w:i w:val="0"/>
        </w:rPr>
        <w:t xml:space="preserve"> inhabiting the throat, nasopharynx and occasionally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C-carbohydrates</w:t>
            </w:r>
          </w:p>
        </w:tc>
        <w:tc>
          <w:tcPr>
            <w:tcW w:type="dxa" w:w="5112"/>
          </w:tcPr>
          <w:p>
            <w:pPr>
              <w:spacing w:after="40"/>
            </w:pPr>
            <w:r>
              <w:rPr>
                <w:sz w:val="18"/>
              </w:rPr>
            </w:r>
            <w:r>
              <w:rPr>
                <w:b/>
                <w:i w:val="0"/>
                <w:sz w:val="18"/>
              </w:rPr>
              <w:t>Protect it against lysozyme</w:t>
            </w:r>
            <w:r>
              <w:rPr>
                <w:b w:val="0"/>
                <w:i w:val="0"/>
                <w:sz w:val="18"/>
              </w:rPr>
              <w:t>; the basis of the Lancefield group</w:t>
            </w:r>
          </w:p>
        </w:tc>
      </w:tr>
      <w:tr>
        <w:tc>
          <w:tcPr>
            <w:tcW w:type="dxa" w:w="5112"/>
          </w:tcPr>
          <w:p>
            <w:pPr>
              <w:spacing w:after="40"/>
            </w:pPr>
            <w:r>
              <w:rPr>
                <w:sz w:val="18"/>
              </w:rPr>
            </w:r>
            <w:r>
              <w:rPr>
                <w:b w:val="0"/>
                <w:i w:val="0"/>
                <w:sz w:val="18"/>
              </w:rPr>
              <w:t>Fimbriae</w:t>
            </w:r>
          </w:p>
        </w:tc>
        <w:tc>
          <w:tcPr>
            <w:tcW w:type="dxa" w:w="5112"/>
          </w:tcPr>
          <w:p>
            <w:pPr>
              <w:spacing w:after="40"/>
            </w:pPr>
            <w:r>
              <w:rPr>
                <w:sz w:val="18"/>
              </w:rPr>
            </w:r>
            <w:r>
              <w:rPr>
                <w:b w:val="0"/>
                <w:i w:val="0"/>
                <w:sz w:val="18"/>
              </w:rPr>
              <w:t xml:space="preserve">Short protein fibers for </w:t>
            </w:r>
            <w:r>
              <w:rPr>
                <w:b/>
                <w:i w:val="0"/>
                <w:sz w:val="18"/>
              </w:rPr>
              <w:t>adherence</w:t>
            </w:r>
          </w:p>
        </w:tc>
      </w:tr>
      <w:tr>
        <w:tc>
          <w:tcPr>
            <w:tcW w:type="dxa" w:w="5112"/>
          </w:tcPr>
          <w:p>
            <w:pPr>
              <w:spacing w:after="40"/>
            </w:pPr>
            <w:r>
              <w:rPr>
                <w:sz w:val="18"/>
              </w:rPr>
            </w:r>
            <w:r>
              <w:rPr>
                <w:b/>
                <w:i w:val="0"/>
                <w:sz w:val="18"/>
              </w:rPr>
              <w:t>★ M-protein</w:t>
            </w:r>
          </w:p>
        </w:tc>
        <w:tc>
          <w:tcPr>
            <w:tcW w:type="dxa" w:w="5112"/>
          </w:tcPr>
          <w:p>
            <w:pPr>
              <w:spacing w:after="40"/>
            </w:pPr>
            <w:r>
              <w:rPr>
                <w:sz w:val="18"/>
              </w:rPr>
            </w:r>
            <w:r>
              <w:rPr>
                <w:b w:val="0"/>
                <w:i w:val="0"/>
                <w:sz w:val="18"/>
                <w:highlight w:val="yellow"/>
              </w:rPr>
              <w:t>Contributes to its resistance to phagocytosis</w:t>
            </w:r>
          </w:p>
        </w:tc>
      </w:tr>
      <w:tr>
        <w:tc>
          <w:tcPr>
            <w:tcW w:type="dxa" w:w="5112"/>
          </w:tcPr>
          <w:p>
            <w:pPr>
              <w:spacing w:after="40"/>
            </w:pPr>
            <w:r>
              <w:rPr>
                <w:sz w:val="18"/>
              </w:rPr>
            </w:r>
            <w:r>
              <w:rPr>
                <w:b w:val="0"/>
                <w:i w:val="0"/>
                <w:sz w:val="18"/>
              </w:rPr>
              <w:t>Hyaluronic acid capsule</w:t>
            </w:r>
          </w:p>
        </w:tc>
        <w:tc>
          <w:tcPr>
            <w:tcW w:type="dxa" w:w="5112"/>
          </w:tcPr>
          <w:p>
            <w:pPr>
              <w:spacing w:after="40"/>
            </w:pPr>
            <w:r>
              <w:rPr>
                <w:sz w:val="18"/>
              </w:rPr>
            </w:r>
            <w:r>
              <w:rPr>
                <w:b/>
                <w:i w:val="0"/>
                <w:sz w:val="18"/>
              </w:rPr>
              <w:t>Provokes little immune response</w:t>
            </w:r>
            <w:r>
              <w:rPr>
                <w:b w:val="0"/>
                <w:i w:val="0"/>
                <w:sz w:val="18"/>
              </w:rPr>
              <w:t>, because it looks like the body’s own hyaluronic acid (the slide says none)</w:t>
            </w:r>
          </w:p>
        </w:tc>
      </w:tr>
      <w:tr>
        <w:tc>
          <w:tcPr>
            <w:tcW w:type="dxa" w:w="5112"/>
          </w:tcPr>
          <w:p>
            <w:pPr>
              <w:spacing w:after="40"/>
            </w:pPr>
            <w:r>
              <w:rPr>
                <w:sz w:val="18"/>
              </w:rPr>
            </w:r>
            <w:r>
              <w:rPr>
                <w:b w:val="0"/>
                <w:i w:val="0"/>
                <w:sz w:val="18"/>
              </w:rPr>
              <w:t>C5a protease</w:t>
            </w:r>
          </w:p>
        </w:tc>
        <w:tc>
          <w:tcPr>
            <w:tcW w:type="dxa" w:w="5112"/>
          </w:tcPr>
          <w:p>
            <w:pPr>
              <w:spacing w:after="40"/>
            </w:pPr>
            <w:r>
              <w:rPr>
                <w:sz w:val="18"/>
              </w:rPr>
            </w:r>
            <w:r>
              <w:rPr>
                <w:b w:val="0"/>
                <w:i w:val="0"/>
                <w:sz w:val="18"/>
              </w:rPr>
              <w:t>Hinders the complement and neutrophil response</w:t>
            </w:r>
          </w:p>
        </w:tc>
      </w:tr>
      <w:tr>
        <w:tc>
          <w:tcPr>
            <w:tcW w:type="dxa" w:w="5112"/>
          </w:tcPr>
          <w:p>
            <w:pPr>
              <w:spacing w:after="40"/>
            </w:pPr>
            <w:r>
              <w:rPr>
                <w:sz w:val="18"/>
              </w:rPr>
            </w:r>
            <w:r>
              <w:rPr>
                <w:b w:val="0"/>
                <w:i w:val="0"/>
                <w:sz w:val="18"/>
              </w:rPr>
              <w:t>Streptolysins O and S</w:t>
            </w:r>
          </w:p>
        </w:tc>
        <w:tc>
          <w:tcPr>
            <w:tcW w:type="dxa" w:w="5112"/>
          </w:tcPr>
          <w:p>
            <w:pPr>
              <w:spacing w:after="40"/>
            </w:pPr>
            <w:r>
              <w:rPr>
                <w:sz w:val="18"/>
              </w:rPr>
            </w:r>
            <w:r>
              <w:rPr>
                <w:b/>
                <w:i w:val="0"/>
                <w:sz w:val="18"/>
              </w:rPr>
              <w:t>Hemolysins</w:t>
            </w:r>
            <w:r>
              <w:rPr>
                <w:b w:val="0"/>
                <w:i w:val="0"/>
                <w:sz w:val="18"/>
              </w:rPr>
              <w:t>; both cause cell and tissue injury</w:t>
            </w:r>
          </w:p>
        </w:tc>
      </w:tr>
      <w:tr>
        <w:tc>
          <w:tcPr>
            <w:tcW w:type="dxa" w:w="5112"/>
          </w:tcPr>
          <w:p>
            <w:pPr>
              <w:spacing w:after="40"/>
            </w:pPr>
            <w:r>
              <w:rPr>
                <w:sz w:val="18"/>
              </w:rPr>
            </w:r>
            <w:r>
              <w:rPr>
                <w:b/>
                <w:i w:val="0"/>
                <w:sz w:val="18"/>
              </w:rPr>
              <w:t>Erythrogenic (pyrogenic) toxin</w:t>
            </w:r>
          </w:p>
        </w:tc>
        <w:tc>
          <w:tcPr>
            <w:tcW w:type="dxa" w:w="5112"/>
          </w:tcPr>
          <w:p>
            <w:pPr>
              <w:spacing w:after="40"/>
            </w:pPr>
            <w:r>
              <w:rPr>
                <w:sz w:val="18"/>
              </w:rPr>
            </w:r>
            <w:r>
              <w:rPr>
                <w:b w:val="0"/>
                <w:i w:val="0"/>
                <w:sz w:val="18"/>
              </w:rPr>
              <w:t xml:space="preserve">Induces </w:t>
            </w:r>
            <w:r>
              <w:rPr>
                <w:b/>
                <w:i w:val="0"/>
                <w:sz w:val="18"/>
              </w:rPr>
              <w:t>fever and the typical red rash</w:t>
            </w:r>
          </w:p>
        </w:tc>
      </w:tr>
      <w:tr>
        <w:tc>
          <w:tcPr>
            <w:tcW w:type="dxa" w:w="5112"/>
          </w:tcPr>
          <w:p>
            <w:pPr>
              <w:spacing w:after="40"/>
            </w:pPr>
            <w:r>
              <w:rPr>
                <w:sz w:val="18"/>
              </w:rPr>
            </w:r>
            <w:r>
              <w:rPr>
                <w:b w:val="0"/>
                <w:i w:val="0"/>
                <w:sz w:val="18"/>
              </w:rPr>
              <w:t>Superantigens</w:t>
            </w:r>
          </w:p>
        </w:tc>
        <w:tc>
          <w:tcPr>
            <w:tcW w:type="dxa" w:w="5112"/>
          </w:tcPr>
          <w:p>
            <w:pPr>
              <w:spacing w:after="40"/>
            </w:pPr>
            <w:r>
              <w:rPr>
                <w:sz w:val="18"/>
              </w:rPr>
            </w:r>
            <w:r>
              <w:rPr>
                <w:b/>
                <w:i w:val="0"/>
                <w:sz w:val="18"/>
              </w:rPr>
              <w:t>Strong monocyte and lymphocyte stimulants</w:t>
            </w:r>
            <w:r>
              <w:rPr>
                <w:b w:val="0"/>
                <w:i w:val="0"/>
                <w:sz w:val="18"/>
              </w:rPr>
              <w:t xml:space="preserve"> that cause the release of tumor necrosis factor (see 9.11)</w:t>
            </w:r>
          </w:p>
        </w:tc>
      </w:tr>
      <w:tr>
        <w:tc>
          <w:tcPr>
            <w:tcW w:type="dxa" w:w="5112"/>
          </w:tcPr>
          <w:p>
            <w:pPr>
              <w:spacing w:after="40"/>
            </w:pPr>
            <w:r>
              <w:rPr>
                <w:sz w:val="18"/>
              </w:rPr>
            </w:r>
            <w:r>
              <w:rPr>
                <w:b/>
                <w:i w:val="0"/>
                <w:sz w:val="18"/>
              </w:rPr>
              <w:t>Streptokinase</w:t>
            </w:r>
          </w:p>
        </w:tc>
        <w:tc>
          <w:tcPr>
            <w:tcW w:type="dxa" w:w="5112"/>
          </w:tcPr>
          <w:p>
            <w:pPr>
              <w:spacing w:after="40"/>
            </w:pPr>
            <w:r>
              <w:rPr>
                <w:sz w:val="18"/>
              </w:rPr>
            </w:r>
            <w:r>
              <w:rPr>
                <w:b/>
                <w:i w:val="0"/>
                <w:sz w:val="18"/>
              </w:rPr>
              <w:t>Digests fibrin clots</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Breaks down connective tissue</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Hydrolyzes deoxyribonucleic acid</w:t>
            </w:r>
          </w:p>
        </w:tc>
      </w:tr>
    </w:tbl>
    <w:p>
      <w:pPr>
        <w:spacing w:after="80"/>
      </w:pPr>
    </w:p>
    <w:p>
      <w:pPr>
        <w:jc w:val="center"/>
      </w:pPr>
      <w:r>
        <w:drawing>
          <wp:inline xmlns:a="http://schemas.openxmlformats.org/drawingml/2006/main" xmlns:pic="http://schemas.openxmlformats.org/drawingml/2006/picture">
            <wp:extent cx="3840480" cy="1968246"/>
            <wp:docPr id="16" name="Picture 16"/>
            <wp:cNvGraphicFramePr>
              <a:graphicFrameLocks noChangeAspect="1"/>
            </wp:cNvGraphicFramePr>
            <a:graphic>
              <a:graphicData uri="http://schemas.openxmlformats.org/drawingml/2006/picture">
                <pic:pic>
                  <pic:nvPicPr>
                    <pic:cNvPr id="0" name="Microbiology_Exam_2_micro-exam-2-study-guide-images_l9-s29-group-a-envelope.jpg"/>
                    <pic:cNvPicPr/>
                  </pic:nvPicPr>
                  <pic:blipFill>
                    <a:blip r:embed="rId24"/>
                    <a:stretch>
                      <a:fillRect/>
                    </a:stretch>
                  </pic:blipFill>
                  <pic:spPr>
                    <a:xfrm>
                      <a:off x="0" y="0"/>
                      <a:ext cx="3840480" cy="1968246"/>
                    </a:xfrm>
                    <a:prstGeom prst="rect"/>
                  </pic:spPr>
                </pic:pic>
              </a:graphicData>
            </a:graphic>
          </wp:inline>
        </w:drawing>
      </w:r>
    </w:p>
    <w:p>
      <w:pPr>
        <w:spacing w:after="160"/>
        <w:jc w:val="center"/>
      </w:pPr>
      <w:r>
        <w:rPr>
          <w:sz w:val="15"/>
        </w:rPr>
        <w:t>Where each surface factor sits. From the outside in: C5a protease , the M-protein (the fibril that resists phagocytosis, drawn in detail at right running out through the peptidoglycan), the C-carbohydrate of the Lancefield group, the peptidoglycan, the capsule and the fimbriae for adherence. Copyright © The McGraw-Hill Companies. Source: PAJ5200.Cocci of Med importance.pptx, Slide 29.</w:t>
      </w:r>
    </w:p>
    <w:p>
      <w:pPr>
        <w:spacing w:after="120"/>
      </w:pPr>
      <w:r>
        <w:rPr>
          <w:b/>
          <w:i w:val="0"/>
        </w:rPr>
        <w:t>Epidemiology.</w:t>
      </w:r>
      <w:r>
        <w:rPr>
          <w:b w:val="0"/>
          <w:i w:val="0"/>
        </w:rPr>
        <w:t xml:space="preserve"> </w:t>
      </w:r>
      <w:r>
        <w:rPr>
          <w:b w:val="0"/>
          <w:i w:val="0"/>
          <w:highlight w:val="yellow"/>
        </w:rPr>
        <w:t>Humans are the only reservoir of Strep pyogenes</w:t>
      </w:r>
      <w:r>
        <w:rPr>
          <w:b w:val="0"/>
          <w:i w:val="0"/>
        </w:rPr>
        <w:t xml:space="preserve">; other streptococci may be zoonotic. Inapparent carriers exist. Transmission is by </w:t>
      </w:r>
      <w:r>
        <w:rPr>
          <w:b/>
          <w:i w:val="0"/>
        </w:rPr>
        <w:t>contact, droplets, food and fomites</w:t>
      </w:r>
      <w:r>
        <w:rPr>
          <w:b w:val="0"/>
          <w:i w:val="0"/>
        </w:rPr>
        <w:t xml:space="preserve">; the portal of entry is generally the </w:t>
      </w:r>
      <w:r>
        <w:rPr>
          <w:b/>
          <w:i w:val="0"/>
        </w:rPr>
        <w:t>skin or pharynx</w:t>
      </w:r>
      <w:r>
        <w:rPr>
          <w:b w:val="0"/>
          <w:i w:val="0"/>
        </w:rPr>
        <w:t xml:space="preserve">. </w:t>
      </w:r>
      <w:r>
        <w:rPr>
          <w:b/>
          <w:i w:val="0"/>
        </w:rPr>
        <w:t>Children</w:t>
      </w:r>
      <w:r>
        <w:rPr>
          <w:b w:val="0"/>
          <w:i w:val="0"/>
        </w:rPr>
        <w:t xml:space="preserve"> are the predominant group affected, for both skin and throat infections. Systemic infections and progressive sequelae are possible if untreated.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Impetigo</w:t>
            </w:r>
            <w:r>
              <w:rPr>
                <w:b w:val="0"/>
                <w:i w:val="0"/>
                <w:sz w:val="18"/>
              </w:rPr>
              <w:t xml:space="preserve"> (pyoderma)</w:t>
            </w:r>
          </w:p>
        </w:tc>
        <w:tc>
          <w:tcPr>
            <w:tcW w:type="dxa" w:w="5112"/>
          </w:tcPr>
          <w:p>
            <w:pPr>
              <w:spacing w:after="40"/>
            </w:pPr>
            <w:r>
              <w:rPr>
                <w:sz w:val="18"/>
              </w:rPr>
            </w:r>
            <w:r>
              <w:rPr>
                <w:b w:val="0"/>
                <w:i w:val="0"/>
                <w:sz w:val="18"/>
              </w:rPr>
              <w:t xml:space="preserve">Superficial lesions that break and form a </w:t>
            </w:r>
            <w:r>
              <w:rPr>
                <w:b/>
                <w:i w:val="0"/>
                <w:sz w:val="18"/>
              </w:rPr>
              <w:t>highly contagious crust</w:t>
            </w:r>
            <w:r>
              <w:rPr>
                <w:b w:val="0"/>
                <w:i w:val="0"/>
                <w:sz w:val="18"/>
              </w:rPr>
              <w:t>; often in epidemics in schoolchildren; also with insect bites, poor hygiene, crowding</w:t>
            </w:r>
          </w:p>
        </w:tc>
      </w:tr>
      <w:tr>
        <w:tc>
          <w:tcPr>
            <w:tcW w:type="dxa" w:w="5112"/>
          </w:tcPr>
          <w:p>
            <w:pPr>
              <w:spacing w:after="40"/>
            </w:pPr>
            <w:r>
              <w:rPr>
                <w:sz w:val="18"/>
              </w:rPr>
            </w:r>
            <w:r>
              <w:rPr>
                <w:b/>
                <w:i w:val="0"/>
                <w:sz w:val="18"/>
              </w:rPr>
              <w:t>Erysipelas</w:t>
            </w:r>
          </w:p>
        </w:tc>
        <w:tc>
          <w:tcPr>
            <w:tcW w:type="dxa" w:w="5112"/>
          </w:tcPr>
          <w:p>
            <w:pPr>
              <w:spacing w:after="40"/>
            </w:pPr>
            <w:r>
              <w:rPr>
                <w:sz w:val="18"/>
              </w:rPr>
            </w:r>
            <w:r>
              <w:rPr>
                <w:b w:val="0"/>
                <w:i w:val="0"/>
                <w:sz w:val="18"/>
              </w:rPr>
              <w:t xml:space="preserve">Enters through a </w:t>
            </w:r>
            <w:r>
              <w:rPr>
                <w:b/>
                <w:i w:val="0"/>
                <w:sz w:val="18"/>
              </w:rPr>
              <w:t>break in the skin</w:t>
            </w:r>
            <w:r>
              <w:rPr>
                <w:b w:val="0"/>
                <w:i w:val="0"/>
                <w:sz w:val="18"/>
              </w:rPr>
              <w:t xml:space="preserve"> and spreads to the </w:t>
            </w:r>
            <w:r>
              <w:rPr>
                <w:b/>
                <w:i w:val="0"/>
                <w:sz w:val="18"/>
              </w:rPr>
              <w:t>dermis and subcutaneous tissues</w:t>
            </w:r>
            <w:r>
              <w:rPr>
                <w:b w:val="0"/>
                <w:i w:val="0"/>
                <w:sz w:val="18"/>
              </w:rPr>
              <w:t>; can stay superficial or become systemic</w:t>
            </w:r>
          </w:p>
        </w:tc>
      </w:tr>
      <w:tr>
        <w:tc>
          <w:tcPr>
            <w:tcW w:type="dxa" w:w="5112"/>
          </w:tcPr>
          <w:p>
            <w:pPr>
              <w:spacing w:after="40"/>
            </w:pPr>
            <w:r>
              <w:rPr>
                <w:sz w:val="18"/>
              </w:rPr>
            </w:r>
            <w:r>
              <w:rPr>
                <w:b w:val="0"/>
                <w:i w:val="0"/>
                <w:sz w:val="18"/>
              </w:rPr>
              <w:t>Streptococcal pharyngitis</w:t>
            </w:r>
          </w:p>
        </w:tc>
        <w:tc>
          <w:tcPr>
            <w:tcW w:type="dxa" w:w="5112"/>
          </w:tcPr>
          <w:p>
            <w:pPr>
              <w:spacing w:after="40"/>
            </w:pPr>
            <w:r>
              <w:rPr>
                <w:sz w:val="18"/>
              </w:rPr>
            </w:r>
            <w:r>
              <w:rPr>
                <w:b w:val="0"/>
                <w:i w:val="0"/>
                <w:sz w:val="18"/>
              </w:rPr>
              <w:t>“Strep throat”</w:t>
            </w:r>
          </w:p>
        </w:tc>
      </w:tr>
      <w:tr>
        <w:tc>
          <w:tcPr>
            <w:tcW w:type="dxa" w:w="5112"/>
          </w:tcPr>
          <w:p>
            <w:pPr>
              <w:spacing w:after="40"/>
            </w:pPr>
            <w:r>
              <w:rPr>
                <w:sz w:val="18"/>
              </w:rPr>
            </w:r>
            <w:r>
              <w:rPr>
                <w:b/>
                <w:i w:val="0"/>
                <w:sz w:val="18"/>
              </w:rPr>
              <w:t>Scarlet fever</w:t>
            </w:r>
          </w:p>
        </w:tc>
        <w:tc>
          <w:tcPr>
            <w:tcW w:type="dxa" w:w="5112"/>
          </w:tcPr>
          <w:p>
            <w:pPr>
              <w:spacing w:after="40"/>
            </w:pPr>
            <w:r>
              <w:rPr>
                <w:sz w:val="18"/>
              </w:rPr>
            </w:r>
            <w:r>
              <w:rPr>
                <w:b w:val="0"/>
                <w:i w:val="0"/>
                <w:sz w:val="18"/>
              </w:rPr>
              <w:t xml:space="preserve">A strain carrying a </w:t>
            </w:r>
            <w:r>
              <w:rPr>
                <w:b/>
                <w:i w:val="0"/>
                <w:sz w:val="18"/>
              </w:rPr>
              <w:t>prophage that codes for erythrogenic toxin</w:t>
            </w:r>
            <w:r>
              <w:rPr>
                <w:b w:val="0"/>
                <w:i w:val="0"/>
                <w:sz w:val="18"/>
              </w:rPr>
              <w:t>; can lead to sequelae</w:t>
            </w:r>
          </w:p>
        </w:tc>
      </w:tr>
      <w:tr>
        <w:tc>
          <w:tcPr>
            <w:tcW w:type="dxa" w:w="5112"/>
          </w:tcPr>
          <w:p>
            <w:pPr>
              <w:spacing w:after="40"/>
            </w:pPr>
            <w:r>
              <w:rPr>
                <w:sz w:val="18"/>
              </w:rPr>
            </w:r>
            <w:r>
              <w:rPr>
                <w:b w:val="0"/>
                <w:i w:val="0"/>
                <w:sz w:val="18"/>
              </w:rPr>
              <w:t>Septicemia, pneumonia, streptococcal toxic shock syndrome</w:t>
            </w:r>
          </w:p>
        </w:tc>
        <w:tc>
          <w:tcPr>
            <w:tcW w:type="dxa" w:w="5112"/>
          </w:tcPr>
          <w:p>
            <w:pPr>
              <w:spacing w:after="40"/>
            </w:pPr>
            <w:r>
              <w:rPr>
                <w:sz w:val="18"/>
              </w:rPr>
            </w:r>
            <w:r>
              <w:rPr>
                <w:b w:val="0"/>
                <w:i w:val="0"/>
                <w:sz w:val="18"/>
              </w:rPr>
              <w:t>The other systemic infections</w:t>
            </w:r>
          </w:p>
        </w:tc>
      </w:tr>
      <w:tr>
        <w:tc>
          <w:tcPr>
            <w:tcW w:type="dxa" w:w="5112"/>
          </w:tcPr>
          <w:p>
            <w:pPr>
              <w:spacing w:after="40"/>
            </w:pPr>
            <w:r>
              <w:rPr>
                <w:sz w:val="18"/>
              </w:rPr>
            </w:r>
            <w:r>
              <w:rPr>
                <w:b/>
                <w:i w:val="0"/>
                <w:sz w:val="18"/>
              </w:rPr>
              <w:t>Rheumatic fever</w:t>
            </w:r>
          </w:p>
        </w:tc>
        <w:tc>
          <w:tcPr>
            <w:tcW w:type="dxa" w:w="5112"/>
          </w:tcPr>
          <w:p>
            <w:pPr>
              <w:spacing w:after="40"/>
            </w:pPr>
            <w:r>
              <w:rPr>
                <w:sz w:val="18"/>
              </w:rPr>
            </w:r>
            <w:r>
              <w:rPr>
                <w:b w:val="0"/>
                <w:i w:val="0"/>
                <w:sz w:val="18"/>
              </w:rPr>
              <w:t xml:space="preserve">Follows overt or subclinical </w:t>
            </w:r>
            <w:r>
              <w:rPr>
                <w:b/>
                <w:i w:val="0"/>
                <w:sz w:val="18"/>
              </w:rPr>
              <w:t>pharyngitis</w:t>
            </w:r>
            <w:r>
              <w:rPr>
                <w:b w:val="0"/>
                <w:i w:val="0"/>
                <w:sz w:val="18"/>
              </w:rPr>
              <w:t xml:space="preserve"> in children: carditis with extensive </w:t>
            </w:r>
            <w:r>
              <w:rPr>
                <w:b/>
                <w:i w:val="0"/>
                <w:sz w:val="18"/>
              </w:rPr>
              <w:t>valve damage</w:t>
            </w:r>
            <w:r>
              <w:rPr>
                <w:b w:val="0"/>
                <w:i w:val="0"/>
                <w:sz w:val="18"/>
              </w:rPr>
              <w:t>, arthritis, chorea, fever</w:t>
            </w:r>
          </w:p>
        </w:tc>
      </w:tr>
      <w:tr>
        <w:tc>
          <w:tcPr>
            <w:tcW w:type="dxa" w:w="5112"/>
          </w:tcPr>
          <w:p>
            <w:pPr>
              <w:spacing w:after="40"/>
            </w:pPr>
            <w:r>
              <w:rPr>
                <w:sz w:val="18"/>
              </w:rPr>
            </w:r>
            <w:r>
              <w:rPr>
                <w:b/>
                <w:i w:val="0"/>
                <w:sz w:val="18"/>
              </w:rPr>
              <w:t>Acute glomerulonephritis</w:t>
            </w:r>
          </w:p>
        </w:tc>
        <w:tc>
          <w:tcPr>
            <w:tcW w:type="dxa" w:w="5112"/>
          </w:tcPr>
          <w:p>
            <w:pPr>
              <w:spacing w:after="40"/>
            </w:pPr>
            <w:r>
              <w:rPr>
                <w:sz w:val="18"/>
              </w:rPr>
            </w:r>
            <w:r>
              <w:rPr>
                <w:b w:val="0"/>
                <w:i w:val="0"/>
                <w:sz w:val="18"/>
              </w:rPr>
              <w:t xml:space="preserve">Nephritis, increased blood pressure, occasionally heart failure; can become chronic and lead to </w:t>
            </w:r>
            <w:r>
              <w:rPr>
                <w:b/>
                <w:i w:val="0"/>
                <w:sz w:val="18"/>
              </w:rPr>
              <w:t>kidney failure</w:t>
            </w:r>
          </w:p>
        </w:tc>
      </w:tr>
    </w:tbl>
    <w:p>
      <w:pPr>
        <w:spacing w:after="80"/>
      </w:pPr>
    </w:p>
    <w:p>
      <w:pPr>
        <w:spacing w:after="120"/>
      </w:pPr>
      <w:r>
        <w:rPr>
          <w:b/>
          <w:i w:val="0"/>
        </w:rPr>
        <w:t>Treatment.</w:t>
      </w:r>
      <w:r>
        <w:rPr>
          <w:b w:val="0"/>
          <w:i w:val="0"/>
        </w:rPr>
        <w:t xml:space="preserve"> Groups A and B are commonly treated with </w:t>
      </w:r>
      <w:r>
        <w:rPr>
          <w:b/>
          <w:i w:val="0"/>
        </w:rPr>
        <w:t>penicillin</w:t>
      </w:r>
      <w:r>
        <w:rPr>
          <w:b w:val="0"/>
          <w:i w:val="0"/>
        </w:rPr>
        <w:t xml:space="preserve"> unless it is contraindicated (resistance or allergy). </w:t>
      </w:r>
      <w:r>
        <w:rPr>
          <w:b/>
          <w:i w:val="0"/>
        </w:rPr>
        <w:t>Long-term penicillin prophylaxis</w:t>
      </w:r>
      <w:r>
        <w:rPr>
          <w:b w:val="0"/>
          <w:i w:val="0"/>
        </w:rPr>
        <w:t xml:space="preserve"> may be prescribed for those with a history of rheumatic fever or recurrent strep throat. </w:t>
      </w:r>
      <w:r>
        <w:rPr>
          <w:b w:val="0"/>
          <w:i w:val="0"/>
          <w:highlight w:val="yellow"/>
        </w:rPr>
        <w:t>Big problems abound with antibiotic resistant strains</w:t>
      </w:r>
      <w:r>
        <w:rPr>
          <w:b w:val="0"/>
          <w:i w:val="0"/>
        </w:rPr>
        <w:t>.</w:t>
      </w:r>
    </w:p>
    <w:p>
      <w:pPr>
        <w:pStyle w:val="Heading2"/>
        <w:spacing w:before="200" w:after="100"/>
      </w:pPr>
      <w:r>
        <w:rPr>
          <w:rFonts w:ascii="Georgia" w:hAnsi="Georgia"/>
          <w:color w:val="1F4D2B"/>
        </w:rPr>
        <w:t>9.6 · Objective 1 — Group B Streptococcus, the enterococci, and the identification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Group B Streptococcus</w:t>
            </w:r>
            <w:r>
              <w:rPr>
                <w:b w:val="0"/>
                <w:i w:val="0"/>
                <w:sz w:val="18"/>
              </w:rPr>
              <w:t xml:space="preserve">, </w:t>
            </w:r>
            <w:r>
              <w:rPr>
                <w:b w:val="0"/>
                <w:i/>
                <w:sz w:val="18"/>
              </w:rPr>
              <w:t>Streptococcus agalactiae</w:t>
            </w:r>
          </w:p>
        </w:tc>
        <w:tc>
          <w:tcPr>
            <w:tcW w:type="dxa" w:w="5112"/>
          </w:tcPr>
          <w:p>
            <w:pPr>
              <w:spacing w:after="40"/>
            </w:pPr>
            <w:r>
              <w:rPr>
                <w:sz w:val="18"/>
              </w:rPr>
            </w:r>
            <w:r>
              <w:rPr>
                <w:b w:val="0"/>
                <w:i w:val="0"/>
                <w:sz w:val="18"/>
              </w:rPr>
              <w:t xml:space="preserve">Regularly resides in the human </w:t>
            </w:r>
            <w:r>
              <w:rPr>
                <w:b/>
                <w:i w:val="0"/>
                <w:sz w:val="18"/>
              </w:rPr>
              <w:t>vagina, pharynx and large intestine</w:t>
            </w:r>
            <w:r>
              <w:rPr>
                <w:b w:val="0"/>
                <w:i w:val="0"/>
                <w:sz w:val="18"/>
              </w:rPr>
              <w:t xml:space="preserve">. Can be transferred to the infant </w:t>
            </w:r>
            <w:r>
              <w:rPr>
                <w:b/>
                <w:i w:val="0"/>
                <w:sz w:val="18"/>
              </w:rPr>
              <w:t>during vaginal delivery</w:t>
            </w:r>
            <w:r>
              <w:rPr>
                <w:b w:val="0"/>
                <w:i w:val="0"/>
                <w:sz w:val="18"/>
              </w:rPr>
              <w:t xml:space="preserve">, causing severe infection: the </w:t>
            </w:r>
            <w:r>
              <w:rPr>
                <w:b/>
                <w:i w:val="0"/>
                <w:sz w:val="18"/>
              </w:rPr>
              <w:t>most prevalent cause of neonatal pneumonia, sepsis and meningitis</w:t>
            </w:r>
            <w:r>
              <w:rPr>
                <w:b w:val="0"/>
                <w:i w:val="0"/>
                <w:sz w:val="18"/>
              </w:rPr>
              <w:t xml:space="preserve">. </w:t>
            </w:r>
            <w:r>
              <w:rPr>
                <w:b w:val="0"/>
                <w:i w:val="0"/>
                <w:sz w:val="18"/>
                <w:highlight w:val="yellow"/>
              </w:rPr>
              <w:t>Pregnant women should be screened and treated for GBS</w:t>
            </w:r>
            <w:r>
              <w:rPr>
                <w:b w:val="0"/>
                <w:i w:val="0"/>
                <w:sz w:val="18"/>
              </w:rPr>
              <w:t xml:space="preserve"> (group B Streptococcus), usually with intravenous antibiotics during vaginal delivery (see 9.11 on the drug). Also wound and skin infections and endocarditis in debilitated patients</w:t>
            </w:r>
          </w:p>
        </w:tc>
      </w:tr>
      <w:tr>
        <w:tc>
          <w:tcPr>
            <w:tcW w:type="dxa" w:w="5112"/>
          </w:tcPr>
          <w:p>
            <w:pPr>
              <w:spacing w:after="40"/>
            </w:pPr>
            <w:r>
              <w:rPr>
                <w:sz w:val="18"/>
              </w:rPr>
            </w:r>
            <w:r>
              <w:rPr>
                <w:b w:val="0"/>
                <w:i w:val="0"/>
                <w:sz w:val="18"/>
              </w:rPr>
              <w:t xml:space="preserve">Group D enterococci: </w:t>
            </w:r>
            <w:r>
              <w:rPr>
                <w:b w:val="0"/>
                <w:i/>
                <w:sz w:val="18"/>
              </w:rPr>
              <w:t>Enterococcus faecalis, faecium, durans</w:t>
            </w:r>
          </w:p>
        </w:tc>
        <w:tc>
          <w:tcPr>
            <w:tcW w:type="dxa" w:w="5112"/>
          </w:tcPr>
          <w:p>
            <w:pPr>
              <w:spacing w:after="40"/>
            </w:pPr>
            <w:r>
              <w:rPr>
                <w:sz w:val="18"/>
              </w:rPr>
            </w:r>
            <w:r>
              <w:rPr>
                <w:b/>
                <w:i w:val="0"/>
                <w:sz w:val="18"/>
              </w:rPr>
              <w:t>Normal colonists of the human large intestine</w:t>
            </w:r>
            <w:r>
              <w:rPr>
                <w:b w:val="0"/>
                <w:i w:val="0"/>
                <w:sz w:val="18"/>
              </w:rPr>
              <w:t xml:space="preserve">; cause opportunistic </w:t>
            </w:r>
            <w:r>
              <w:rPr>
                <w:b/>
                <w:i w:val="0"/>
                <w:sz w:val="18"/>
              </w:rPr>
              <w:t>urinary, wound and skin infections</w:t>
            </w:r>
            <w:r>
              <w:rPr>
                <w:b w:val="0"/>
                <w:i w:val="0"/>
                <w:sz w:val="18"/>
              </w:rPr>
              <w:t xml:space="preserve">, particularly in debilitated persons. Treatment usually requires </w:t>
            </w:r>
            <w:r>
              <w:rPr>
                <w:b/>
                <w:i w:val="0"/>
                <w:sz w:val="18"/>
              </w:rPr>
              <w:t>multiple antibiotic therapy</w:t>
            </w:r>
          </w:p>
        </w:tc>
      </w:tr>
      <w:tr>
        <w:tc>
          <w:tcPr>
            <w:tcW w:type="dxa" w:w="5112"/>
          </w:tcPr>
          <w:p>
            <w:pPr>
              <w:spacing w:after="40"/>
            </w:pPr>
            <w:r>
              <w:rPr>
                <w:sz w:val="18"/>
              </w:rPr>
            </w:r>
            <w:r>
              <w:rPr>
                <w:b w:val="0"/>
                <w:i w:val="0"/>
                <w:sz w:val="18"/>
              </w:rPr>
              <w:t>Groups C and G</w:t>
            </w:r>
          </w:p>
        </w:tc>
        <w:tc>
          <w:tcPr>
            <w:tcW w:type="dxa" w:w="5112"/>
          </w:tcPr>
          <w:p>
            <w:pPr>
              <w:spacing w:after="40"/>
            </w:pPr>
            <w:r>
              <w:rPr>
                <w:sz w:val="18"/>
              </w:rPr>
            </w:r>
            <w:r>
              <w:rPr>
                <w:b w:val="0"/>
                <w:i w:val="0"/>
                <w:sz w:val="18"/>
              </w:rPr>
              <w:t xml:space="preserve">Common animal flora, often isolated from the upper respiratory tract; pharyngitis, glomerulonephritis, bacteremia </w:t>
            </w:r>
            <w:r>
              <w:rPr>
                <w:b w:val="0"/>
                <w:i w:val="0"/>
                <w:sz w:val="18"/>
              </w:rPr>
              <w:t>(not examined; “the other letters”)</w:t>
            </w:r>
          </w:p>
        </w:tc>
      </w:tr>
    </w:tbl>
    <w:p>
      <w:pPr>
        <w:spacing w:after="80"/>
      </w:pPr>
    </w:p>
    <w:p>
      <w:pPr>
        <w:spacing w:after="120"/>
      </w:pPr>
      <w:r>
        <w:rPr>
          <w:b/>
          <w:i w:val="0"/>
        </w:rPr>
        <w:t>Identification.</w:t>
      </w:r>
      <w:r>
        <w:rPr>
          <w:b w:val="0"/>
          <w:i w:val="0"/>
        </w:rPr>
        <w:t xml:space="preserve"> Cultivation and diagnosis ensure proper treatment, preventing complications. </w:t>
      </w:r>
      <w:r>
        <w:rPr>
          <w:b/>
          <w:i w:val="0"/>
        </w:rPr>
        <w:t>Rapid diagnostic tests</w:t>
      </w:r>
      <w:r>
        <w:rPr>
          <w:b w:val="0"/>
          <w:i w:val="0"/>
        </w:rPr>
        <w:t xml:space="preserve"> use </w:t>
      </w:r>
      <w:r>
        <w:rPr>
          <w:b/>
          <w:i w:val="0"/>
        </w:rPr>
        <w:t>monoclonal antibodies that react with the C-carbohydrates</w:t>
      </w:r>
      <w:r>
        <w:rPr>
          <w:b w:val="0"/>
          <w:i w:val="0"/>
        </w:rPr>
        <w:t xml:space="preserve"> (serological or immunological methods). </w:t>
      </w:r>
      <w:r>
        <w:rPr>
          <w:b/>
          <w:i w:val="0"/>
        </w:rPr>
        <w:t>Phenotypic</w:t>
      </w:r>
      <w:r>
        <w:rPr>
          <w:b w:val="0"/>
          <w:i w:val="0"/>
        </w:rPr>
        <w:t xml:space="preserve"> culture methods: the </w:t>
      </w:r>
      <w:r>
        <w:rPr>
          <w:b/>
          <w:i w:val="0"/>
        </w:rPr>
        <w:t>bacitracin disc</w:t>
      </w:r>
      <w:r>
        <w:rPr>
          <w:b w:val="0"/>
          <w:i w:val="0"/>
        </w:rPr>
        <w:t xml:space="preserve"> sensitivity test, the </w:t>
      </w:r>
      <w:r>
        <w:rPr>
          <w:b/>
          <w:i w:val="0"/>
        </w:rPr>
        <w:t>CAMP test</w:t>
      </w:r>
      <w:r>
        <w:rPr>
          <w:b w:val="0"/>
          <w:i w:val="0"/>
        </w:rPr>
        <w:t xml:space="preserve"> and </w:t>
      </w:r>
      <w:r>
        <w:rPr>
          <w:b/>
          <w:i w:val="0"/>
        </w:rPr>
        <w:t>bile esculin hydrolysis</w:t>
      </w:r>
      <w:r>
        <w:rPr>
          <w:b w:val="0"/>
          <w:i w:val="0"/>
        </w:rPr>
        <w:t>.</w:t>
      </w:r>
    </w:p>
    <w:p>
      <w:pPr>
        <w:spacing w:after="120"/>
      </w:pPr>
      <w:r>
        <w:rPr>
          <w:b/>
          <w:i w:val="0"/>
        </w:rPr>
        <w:t>The CAMP test</w:t>
      </w:r>
      <w:r>
        <w:rPr>
          <w:b w:val="0"/>
          <w:i w:val="0"/>
        </w:rPr>
        <w:t xml:space="preserve"> (named for Christie, Atkins and Munch-Petersen, 1944): a CAMP-factor protein works </w:t>
      </w:r>
      <w:r>
        <w:rPr>
          <w:b/>
          <w:i w:val="0"/>
        </w:rPr>
        <w:t xml:space="preserve">synergistically with beta-hemolytic </w:t>
      </w:r>
      <w:r>
        <w:rPr>
          <w:b/>
          <w:i/>
        </w:rPr>
        <w:t>Staphylococcus aureus</w:t>
      </w:r>
      <w:r>
        <w:rPr>
          <w:b w:val="0"/>
          <w:i w:val="0"/>
        </w:rPr>
        <w:t xml:space="preserve"> to produce a </w:t>
      </w:r>
      <w:r>
        <w:rPr>
          <w:b/>
          <w:i w:val="0"/>
        </w:rPr>
        <w:t>flame or arrow shape</w:t>
      </w:r>
      <w:r>
        <w:rPr>
          <w:b w:val="0"/>
          <w:i w:val="0"/>
        </w:rPr>
        <w:t xml:space="preserve"> on the blood agar plate. It is time consuming but has been effective in detecting </w:t>
      </w:r>
      <w:r>
        <w:rPr>
          <w:b/>
          <w:i/>
        </w:rPr>
        <w:t>Listeria monocytogenes</w:t>
      </w:r>
      <w:r>
        <w:rPr>
          <w:b w:val="0"/>
          <w:i w:val="0"/>
        </w:rPr>
        <w:t>, a Gram-positive rod whose temperature range is 0–40°C, from food and clinical specimens.</w:t>
      </w:r>
    </w:p>
    <w:p>
      <w:pPr>
        <w:jc w:val="center"/>
      </w:pPr>
      <w:r>
        <w:drawing>
          <wp:inline xmlns:a="http://schemas.openxmlformats.org/drawingml/2006/main" xmlns:pic="http://schemas.openxmlformats.org/drawingml/2006/picture">
            <wp:extent cx="3840480" cy="3008209"/>
            <wp:docPr id="17" name="Picture 17"/>
            <wp:cNvGraphicFramePr>
              <a:graphicFrameLocks noChangeAspect="1"/>
            </wp:cNvGraphicFramePr>
            <a:graphic>
              <a:graphicData uri="http://schemas.openxmlformats.org/drawingml/2006/picture">
                <pic:pic>
                  <pic:nvPicPr>
                    <pic:cNvPr id="0" name="Microbiology_Exam_2_micro-exam-2-study-guide-images_l9-s42-camp-test.jpg"/>
                    <pic:cNvPicPr/>
                  </pic:nvPicPr>
                  <pic:blipFill>
                    <a:blip r:embed="rId25"/>
                    <a:stretch>
                      <a:fillRect/>
                    </a:stretch>
                  </pic:blipFill>
                  <pic:spPr>
                    <a:xfrm>
                      <a:off x="0" y="0"/>
                      <a:ext cx="3840480" cy="3008209"/>
                    </a:xfrm>
                    <a:prstGeom prst="rect"/>
                  </pic:spPr>
                </pic:pic>
              </a:graphicData>
            </a:graphic>
          </wp:inline>
        </w:drawing>
      </w:r>
    </w:p>
    <w:p>
      <w:pPr>
        <w:spacing w:after="160"/>
        <w:jc w:val="center"/>
      </w:pPr>
      <w:r>
        <w:rPr>
          <w:sz w:val="15"/>
        </w:rPr>
        <w:t>A positive CAMP test : where the streptococcal streak meets the Staphylococcus aureus streak, hemolysis widens into an arrowhead. The two discs on the left are bacitracin and SXT (sulfamethoxazole-trimethoprim); neither shows a zone of inhibition here. Copyright © The McGraw-Hill Companies. Source: PAJ5200.Cocci of Med importance.pptx, Slide 42.</w:t>
      </w:r>
    </w:p>
    <w:p>
      <w:pPr>
        <w:pStyle w:val="Heading2"/>
        <w:spacing w:before="200" w:after="100"/>
      </w:pPr>
      <w:r>
        <w:rPr>
          <w:rFonts w:ascii="Georgia" w:hAnsi="Georgia"/>
          <w:color w:val="1F4D2B"/>
        </w:rPr>
        <w:t>9.7 · Objective 1 — The viridans streptococci and Streptococcus pneumoniae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Viridans group (alpha-hemolytic)</w:t>
            </w:r>
          </w:p>
        </w:tc>
        <w:tc>
          <w:tcPr>
            <w:tcW w:type="dxa" w:w="3408"/>
            <w:shd w:val="clear" w:color="auto" w:fill="1F4D2B"/>
          </w:tcPr>
          <w:p>
            <w:pPr>
              <w:spacing w:after="40"/>
            </w:pPr>
            <w:r>
              <w:rPr>
                <w:b/>
                <w:color w:val="FFFFFF"/>
                <w:sz w:val="18"/>
              </w:rPr>
            </w:r>
            <w:r>
              <w:rPr>
                <w:b/>
                <w:i/>
                <w:color w:val="FFFFFF"/>
                <w:sz w:val="18"/>
              </w:rPr>
              <w:t>Streptococcus pneumoniae</w:t>
            </w:r>
            <w:r>
              <w:rPr>
                <w:b/>
                <w:i w:val="0"/>
                <w:color w:val="FFFFFF"/>
                <w:sz w:val="18"/>
              </w:rPr>
              <w:t xml:space="preserve"> (the pneumococcus)</w:t>
            </w:r>
          </w:p>
        </w:tc>
      </w:tr>
      <w:tr>
        <w:tc>
          <w:tcPr>
            <w:tcW w:type="dxa" w:w="3408"/>
          </w:tcPr>
          <w:p>
            <w:pPr>
              <w:spacing w:after="40"/>
            </w:pPr>
            <w:r>
              <w:rPr>
                <w:sz w:val="18"/>
              </w:rPr>
            </w:r>
            <w:r>
              <w:rPr>
                <w:b w:val="0"/>
                <w:i w:val="0"/>
                <w:sz w:val="18"/>
              </w:rPr>
              <w:t>Members and morphology</w:t>
            </w:r>
          </w:p>
        </w:tc>
        <w:tc>
          <w:tcPr>
            <w:tcW w:type="dxa" w:w="3408"/>
          </w:tcPr>
          <w:p>
            <w:pPr>
              <w:spacing w:after="40"/>
            </w:pPr>
            <w:r>
              <w:rPr>
                <w:sz w:val="18"/>
              </w:rPr>
            </w:r>
            <w:r>
              <w:rPr>
                <w:b w:val="0"/>
                <w:i/>
                <w:sz w:val="18"/>
              </w:rPr>
              <w:t>Streptococcus mutans, oralis, salivarius, sanguis, milleri, mitis</w:t>
            </w:r>
            <w:r>
              <w:rPr>
                <w:b w:val="0"/>
                <w:i w:val="0"/>
                <w:sz w:val="18"/>
              </w:rPr>
              <w:t>; partially hemolytic, a greenish color around colonies</w:t>
            </w:r>
          </w:p>
        </w:tc>
        <w:tc>
          <w:tcPr>
            <w:tcW w:type="dxa" w:w="3408"/>
          </w:tcPr>
          <w:p>
            <w:pPr>
              <w:spacing w:after="40"/>
            </w:pPr>
            <w:r>
              <w:rPr>
                <w:sz w:val="18"/>
              </w:rPr>
            </w:r>
            <w:r>
              <w:rPr>
                <w:b/>
                <w:i w:val="0"/>
                <w:sz w:val="18"/>
              </w:rPr>
              <w:t>Small, lancet-shaped cells in pairs and short chains</w:t>
            </w:r>
          </w:p>
        </w:tc>
      </w:tr>
      <w:tr>
        <w:tc>
          <w:tcPr>
            <w:tcW w:type="dxa" w:w="3408"/>
          </w:tcPr>
          <w:p>
            <w:pPr>
              <w:spacing w:after="40"/>
            </w:pPr>
            <w:r>
              <w:rPr>
                <w:sz w:val="18"/>
              </w:rPr>
            </w:r>
            <w:r>
              <w:rPr>
                <w:b w:val="0"/>
                <w:i w:val="0"/>
                <w:sz w:val="18"/>
              </w:rPr>
              <w:t>Habitat</w:t>
            </w:r>
          </w:p>
        </w:tc>
        <w:tc>
          <w:tcPr>
            <w:tcW w:type="dxa" w:w="3408"/>
          </w:tcPr>
          <w:p>
            <w:pPr>
              <w:spacing w:after="40"/>
            </w:pPr>
            <w:r>
              <w:rPr>
                <w:sz w:val="18"/>
              </w:rPr>
            </w:r>
            <w:r>
              <w:rPr>
                <w:b w:val="0"/>
                <w:i w:val="0"/>
                <w:sz w:val="18"/>
              </w:rPr>
              <w:t xml:space="preserve">The </w:t>
            </w:r>
            <w:r>
              <w:rPr>
                <w:b/>
                <w:i w:val="0"/>
                <w:sz w:val="18"/>
              </w:rPr>
              <w:t>most numerous residents of the gums and teeth, oral cavity</w:t>
            </w:r>
            <w:r>
              <w:rPr>
                <w:b w:val="0"/>
                <w:i w:val="0"/>
                <w:sz w:val="18"/>
              </w:rPr>
              <w:t>; also nasopharynx, genital tract, skin</w:t>
            </w:r>
          </w:p>
        </w:tc>
        <w:tc>
          <w:tcPr>
            <w:tcW w:type="dxa" w:w="3408"/>
          </w:tcPr>
          <w:p>
            <w:pPr>
              <w:spacing w:after="40"/>
            </w:pPr>
            <w:r>
              <w:rPr>
                <w:sz w:val="18"/>
              </w:rPr>
            </w:r>
            <w:r>
              <w:rPr>
                <w:b w:val="0"/>
                <w:i w:val="0"/>
                <w:sz w:val="18"/>
              </w:rPr>
              <w:t>Nasopharynx: 5–50% of people carry it as normal flora</w:t>
            </w:r>
          </w:p>
        </w:tc>
      </w:tr>
      <w:tr>
        <w:tc>
          <w:tcPr>
            <w:tcW w:type="dxa" w:w="3408"/>
          </w:tcPr>
          <w:p>
            <w:pPr>
              <w:spacing w:after="40"/>
            </w:pPr>
            <w:r>
              <w:rPr>
                <w:sz w:val="18"/>
              </w:rPr>
            </w:r>
            <w:r>
              <w:rPr>
                <w:b w:val="0"/>
                <w:i w:val="0"/>
                <w:sz w:val="18"/>
              </w:rPr>
              <w:t>Culture</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Requires </w:t>
            </w:r>
            <w:r>
              <w:rPr>
                <w:b/>
                <w:i w:val="0"/>
                <w:sz w:val="18"/>
              </w:rPr>
              <w:t>blood or chocolate agar</w:t>
            </w:r>
            <w:r>
              <w:rPr>
                <w:b w:val="0"/>
                <w:i w:val="0"/>
                <w:sz w:val="18"/>
              </w:rPr>
              <w:t xml:space="preserve">. </w:t>
            </w:r>
            <w:r>
              <w:rPr>
                <w:b/>
                <w:i w:val="0"/>
                <w:sz w:val="18"/>
              </w:rPr>
              <w:t>Capnophilic</w:t>
            </w:r>
            <w:r>
              <w:rPr>
                <w:b w:val="0"/>
                <w:i w:val="0"/>
                <w:sz w:val="18"/>
              </w:rPr>
              <w:t xml:space="preserve"> (carbon dioxide loving): growth improved by 5–10% carbon dioxide. </w:t>
            </w:r>
            <w:r>
              <w:rPr>
                <w:b/>
                <w:i w:val="0"/>
                <w:sz w:val="18"/>
              </w:rPr>
              <w:t>Aerotolerant anaerobes that lack catalase and peroxidases</w:t>
            </w:r>
            <w:r>
              <w:rPr>
                <w:b w:val="0"/>
                <w:i w:val="0"/>
                <w:sz w:val="18"/>
              </w:rPr>
              <w:t>, so cultures may die in high laboratory oxygen</w:t>
            </w:r>
          </w:p>
        </w:tc>
      </w:tr>
      <w:tr>
        <w:tc>
          <w:tcPr>
            <w:tcW w:type="dxa" w:w="3408"/>
          </w:tcPr>
          <w:p>
            <w:pPr>
              <w:spacing w:after="40"/>
            </w:pPr>
            <w:r>
              <w:rPr>
                <w:sz w:val="18"/>
              </w:rPr>
            </w:r>
            <w:r>
              <w:rPr>
                <w:b w:val="0"/>
                <w:i w:val="0"/>
                <w:sz w:val="18"/>
              </w:rPr>
              <w:t>Entry and virulence</w:t>
            </w:r>
          </w:p>
        </w:tc>
        <w:tc>
          <w:tcPr>
            <w:tcW w:type="dxa" w:w="3408"/>
          </w:tcPr>
          <w:p>
            <w:pPr>
              <w:spacing w:after="40"/>
            </w:pPr>
            <w:r>
              <w:rPr>
                <w:sz w:val="18"/>
              </w:rPr>
            </w:r>
            <w:r>
              <w:rPr>
                <w:b w:val="0"/>
                <w:i w:val="0"/>
                <w:sz w:val="18"/>
                <w:highlight w:val="yellow"/>
              </w:rPr>
              <w:t>Not very invasive on their own; dental or surgical procedures may facilitate entrance</w:t>
            </w:r>
            <w:r>
              <w:rPr>
                <w:b w:val="0"/>
                <w:i w:val="0"/>
                <w:sz w:val="18"/>
              </w:rPr>
              <w:t xml:space="preserve">. </w:t>
            </w:r>
            <w:r>
              <w:rPr>
                <w:b w:val="0"/>
                <w:i/>
                <w:sz w:val="18"/>
              </w:rPr>
              <w:t>Streptococcus mutans</w:t>
            </w:r>
            <w:r>
              <w:rPr>
                <w:b w:val="0"/>
                <w:i w:val="0"/>
                <w:sz w:val="18"/>
              </w:rPr>
              <w:t xml:space="preserve"> produces </w:t>
            </w:r>
            <w:r>
              <w:rPr>
                <w:b/>
                <w:i w:val="0"/>
                <w:sz w:val="18"/>
              </w:rPr>
              <w:t>slime layers that adhere to teeth</w:t>
            </w:r>
            <w:r>
              <w:rPr>
                <w:b w:val="0"/>
                <w:i w:val="0"/>
                <w:sz w:val="18"/>
              </w:rPr>
              <w:t>, the basis of plaque and of dental caries</w:t>
            </w:r>
          </w:p>
        </w:tc>
        <w:tc>
          <w:tcPr>
            <w:tcW w:type="dxa" w:w="3408"/>
          </w:tcPr>
          <w:p>
            <w:pPr>
              <w:spacing w:after="40"/>
            </w:pPr>
            <w:r>
              <w:rPr>
                <w:sz w:val="18"/>
              </w:rPr>
            </w:r>
            <w:r>
              <w:rPr>
                <w:b w:val="0"/>
                <w:i w:val="0"/>
                <w:sz w:val="18"/>
              </w:rPr>
              <w:t xml:space="preserve">All pathogenic strains form </w:t>
            </w:r>
            <w:r>
              <w:rPr>
                <w:b/>
                <w:i w:val="0"/>
                <w:sz w:val="18"/>
              </w:rPr>
              <w:t>large capsules, the major virulence factor</w:t>
            </w:r>
            <w:r>
              <w:rPr>
                <w:b w:val="0"/>
                <w:i w:val="0"/>
                <w:sz w:val="18"/>
              </w:rPr>
              <w:t xml:space="preserve">; the capsule’s </w:t>
            </w:r>
            <w:r>
              <w:rPr>
                <w:b/>
                <w:i w:val="0"/>
                <w:sz w:val="18"/>
              </w:rPr>
              <w:t>specific soluble substance varies among types</w:t>
            </w:r>
            <w:r>
              <w:rPr>
                <w:b w:val="0"/>
                <w:i w:val="0"/>
                <w:sz w:val="18"/>
              </w:rPr>
              <w:t xml:space="preserve"> (about 90 capsular types on the slide)</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Gingivitis, periodontitis, bacteremia, meningitis, abdominal infection, tooth abscesses. The most serious is </w:t>
            </w:r>
            <w:r>
              <w:rPr>
                <w:b/>
                <w:i w:val="0"/>
                <w:sz w:val="18"/>
              </w:rPr>
              <w:t>subacute endocarditis</w:t>
            </w:r>
            <w:r>
              <w:rPr>
                <w:b w:val="0"/>
                <w:i w:val="0"/>
                <w:sz w:val="18"/>
              </w:rPr>
              <w:t xml:space="preserve">: blood-borne bacteria settle on the heart lining or valves and colonize them by forming biofilms. </w:t>
            </w:r>
            <w:r>
              <w:rPr>
                <w:b/>
                <w:i w:val="0"/>
                <w:sz w:val="18"/>
              </w:rPr>
              <w:t>Pre-existing heart disease = high risk</w:t>
            </w:r>
          </w:p>
        </w:tc>
        <w:tc>
          <w:tcPr>
            <w:tcW w:type="dxa" w:w="3408"/>
          </w:tcPr>
          <w:p>
            <w:pPr>
              <w:spacing w:after="40"/>
            </w:pPr>
            <w:r>
              <w:rPr>
                <w:sz w:val="18"/>
              </w:rPr>
            </w:r>
            <w:r>
              <w:rPr>
                <w:b w:val="0"/>
                <w:i w:val="0"/>
                <w:sz w:val="18"/>
              </w:rPr>
              <w:t xml:space="preserve">Pneumococcal </w:t>
            </w:r>
            <w:r>
              <w:rPr>
                <w:b/>
                <w:i w:val="0"/>
                <w:sz w:val="18"/>
              </w:rPr>
              <w:t>pneumonia</w:t>
            </w:r>
            <w:r>
              <w:rPr>
                <w:b w:val="0"/>
                <w:i w:val="0"/>
                <w:sz w:val="18"/>
              </w:rPr>
              <w:t xml:space="preserve"> (aspirated into the lungs, where they multiply and provoke an overwhelming inflammatory response) and </w:t>
            </w:r>
            <w:r>
              <w:rPr>
                <w:b/>
                <w:i w:val="0"/>
                <w:sz w:val="18"/>
              </w:rPr>
              <w:t>otitis media</w:t>
            </w:r>
            <w:r>
              <w:rPr>
                <w:b w:val="0"/>
                <w:i w:val="0"/>
                <w:sz w:val="18"/>
              </w:rPr>
              <w:t xml:space="preserve"> (reaching the middle ear by the </w:t>
            </w:r>
            <w:r>
              <w:rPr>
                <w:b/>
                <w:i w:val="0"/>
                <w:sz w:val="18"/>
              </w:rPr>
              <w:t>eustachian tube</w:t>
            </w:r>
            <w:r>
              <w:rPr>
                <w:b w:val="0"/>
                <w:i w:val="0"/>
                <w:sz w:val="18"/>
              </w:rPr>
              <w:t>)</w:t>
            </w:r>
          </w:p>
        </w:tc>
      </w:tr>
      <w:tr>
        <w:tc>
          <w:tcPr>
            <w:tcW w:type="dxa" w:w="3408"/>
          </w:tcPr>
          <w:p>
            <w:pPr>
              <w:spacing w:after="40"/>
            </w:pPr>
            <w:r>
              <w:rPr>
                <w:sz w:val="18"/>
              </w:rPr>
            </w:r>
            <w:r>
              <w:rPr>
                <w:b w:val="0"/>
                <w:i w:val="0"/>
                <w:sz w:val="18"/>
              </w:rPr>
              <w:t>Who is at risk</w:t>
            </w:r>
          </w:p>
        </w:tc>
        <w:tc>
          <w:tcPr>
            <w:tcW w:type="dxa" w:w="3408"/>
          </w:tcPr>
          <w:p>
            <w:pPr>
              <w:spacing w:after="40"/>
            </w:pPr>
            <w:r>
              <w:rPr>
                <w:sz w:val="18"/>
              </w:rPr>
            </w:r>
            <w:r>
              <w:rPr>
                <w:b w:val="0"/>
                <w:i w:val="0"/>
                <w:sz w:val="18"/>
              </w:rPr>
              <w:t>Persons with pre-existing heart disease</w:t>
            </w:r>
          </w:p>
        </w:tc>
        <w:tc>
          <w:tcPr>
            <w:tcW w:type="dxa" w:w="3408"/>
          </w:tcPr>
          <w:p>
            <w:pPr>
              <w:spacing w:after="40"/>
            </w:pPr>
            <w:r>
              <w:rPr>
                <w:sz w:val="18"/>
              </w:rPr>
            </w:r>
            <w:r>
              <w:rPr>
                <w:b w:val="0"/>
                <w:i w:val="0"/>
                <w:sz w:val="18"/>
              </w:rPr>
              <w:t xml:space="preserve">Infections are usually </w:t>
            </w:r>
            <w:r>
              <w:rPr>
                <w:b/>
                <w:i w:val="0"/>
                <w:sz w:val="18"/>
              </w:rPr>
              <w:t>endogenous</w:t>
            </w:r>
            <w:r>
              <w:rPr>
                <w:b w:val="0"/>
                <w:i w:val="0"/>
                <w:sz w:val="18"/>
              </w:rPr>
              <w:t xml:space="preserve">, especially in the immunocompromised; greatest risk in </w:t>
            </w:r>
            <w:r>
              <w:rPr>
                <w:b/>
                <w:i w:val="0"/>
                <w:sz w:val="18"/>
              </w:rPr>
              <w:t>young children, the elderly</w:t>
            </w:r>
            <w:r>
              <w:rPr>
                <w:b w:val="0"/>
                <w:i w:val="0"/>
                <w:sz w:val="18"/>
              </w:rPr>
              <w:t>, the immune compromised, those with other lung disease or viral infection, and people in close quarters. A very delicate bacterium that does not survive long outside its habitat</w:t>
            </w:r>
          </w:p>
        </w:tc>
      </w:tr>
      <w:tr>
        <w:tc>
          <w:tcPr>
            <w:tcW w:type="dxa" w:w="3408"/>
          </w:tcPr>
          <w:p>
            <w:pPr>
              <w:spacing w:after="40"/>
            </w:pPr>
            <w:r>
              <w:rPr>
                <w:sz w:val="18"/>
              </w:rPr>
            </w:r>
            <w:r>
              <w:rPr>
                <w:b w:val="0"/>
                <w:i w:val="0"/>
                <w:sz w:val="18"/>
              </w:rPr>
              <w:t>Treatment and prevention</w:t>
            </w:r>
          </w:p>
        </w:tc>
        <w:tc>
          <w:tcPr>
            <w:tcW w:type="dxa" w:w="3408"/>
          </w:tcPr>
          <w:p>
            <w:pPr>
              <w:spacing w:after="40"/>
            </w:pPr>
            <w:r>
              <w:rPr>
                <w:sz w:val="18"/>
              </w:rPr>
            </w:r>
            <w:r>
              <w:rPr>
                <w:b w:val="0"/>
                <w:i w:val="0"/>
                <w:sz w:val="18"/>
              </w:rPr>
              <w:t xml:space="preserve">Prophylactic antibiotics before surgery or dental work for </w:t>
            </w:r>
            <w:r>
              <w:rPr>
                <w:b/>
                <w:i w:val="0"/>
                <w:sz w:val="18"/>
              </w:rPr>
              <w:t>certain pre-existing heart conditions</w:t>
            </w:r>
            <w:r>
              <w:rPr>
                <w:b w:val="0"/>
                <w:i w:val="0"/>
                <w:sz w:val="18"/>
              </w:rPr>
              <w:t xml:space="preserve"> (many dentists have stopped except in extreme circumstances)</w:t>
            </w:r>
          </w:p>
        </w:tc>
        <w:tc>
          <w:tcPr>
            <w:tcW w:type="dxa" w:w="3408"/>
          </w:tcPr>
          <w:p>
            <w:pPr>
              <w:spacing w:after="40"/>
            </w:pPr>
            <w:r>
              <w:rPr>
                <w:sz w:val="18"/>
              </w:rPr>
            </w:r>
            <w:r>
              <w:rPr>
                <w:b w:val="0"/>
                <w:i w:val="0"/>
                <w:sz w:val="18"/>
              </w:rPr>
              <w:t xml:space="preserve">Traditionally penicillin G or V, but </w:t>
            </w:r>
            <w:r>
              <w:rPr>
                <w:b/>
                <w:i w:val="0"/>
                <w:sz w:val="18"/>
              </w:rPr>
              <w:t>drug resistance is increasing</w:t>
            </w:r>
            <w:r>
              <w:rPr>
                <w:b w:val="0"/>
                <w:i w:val="0"/>
                <w:sz w:val="18"/>
              </w:rPr>
              <w:t xml:space="preserve">. Two vaccines for high-risk individuals: a capsular antigen vaccine for older adults (effective about 5 years) and a </w:t>
            </w:r>
            <w:r>
              <w:rPr>
                <w:b/>
                <w:i w:val="0"/>
                <w:sz w:val="18"/>
              </w:rPr>
              <w:t>conjugate vaccine for children 2 to 23 months</w:t>
            </w:r>
          </w:p>
        </w:tc>
      </w:tr>
    </w:tbl>
    <w:p>
      <w:pPr>
        <w:spacing w:after="80"/>
      </w:pPr>
    </w:p>
    <w:p>
      <w:pPr>
        <w:jc w:val="center"/>
      </w:pPr>
      <w:r>
        <w:drawing>
          <wp:inline xmlns:a="http://schemas.openxmlformats.org/drawingml/2006/main" xmlns:pic="http://schemas.openxmlformats.org/drawingml/2006/picture">
            <wp:extent cx="3840480" cy="3060143"/>
            <wp:docPr id="18" name="Picture 18"/>
            <wp:cNvGraphicFramePr>
              <a:graphicFrameLocks noChangeAspect="1"/>
            </wp:cNvGraphicFramePr>
            <a:graphic>
              <a:graphicData uri="http://schemas.openxmlformats.org/drawingml/2006/picture">
                <pic:pic>
                  <pic:nvPicPr>
                    <pic:cNvPr id="0" name="Microbiology_Exam_2_micro-exam-2-study-guide-images_l9-s49-pneumococci.jpg"/>
                    <pic:cNvPicPr/>
                  </pic:nvPicPr>
                  <pic:blipFill>
                    <a:blip r:embed="rId26"/>
                    <a:stretch>
                      <a:fillRect/>
                    </a:stretch>
                  </pic:blipFill>
                  <pic:spPr>
                    <a:xfrm>
                      <a:off x="0" y="0"/>
                      <a:ext cx="3840480" cy="3060143"/>
                    </a:xfrm>
                    <a:prstGeom prst="rect"/>
                  </pic:spPr>
                </pic:pic>
              </a:graphicData>
            </a:graphic>
          </wp:inline>
        </w:drawing>
      </w:r>
    </w:p>
    <w:p>
      <w:pPr>
        <w:spacing w:after="160"/>
        <w:jc w:val="center"/>
      </w:pPr>
      <w:r>
        <w:rPr>
          <w:sz w:val="15"/>
        </w:rPr>
        <w:t>Diagnosing Streptococcus pneumoniae : Gram-positive, lancet-shaped cells in pairs and short chains , here beside a phagocyte. The inset draws the shape — each pair is two pointed ovals end to end. Copyright © The McGraw-Hill Companies. Source: PAJ5200.Cocci of Med importance.pptx, Slide 49.</w:t>
      </w:r>
    </w:p>
    <w:p>
      <w:pPr>
        <w:spacing w:after="120"/>
      </w:pPr>
      <w:r>
        <w:rPr>
          <w:b w:val="0"/>
          <w:i w:val="0"/>
        </w:rPr>
        <w:t>Also tested</w:t>
      </w:r>
    </w:p>
    <w:p>
      <w:pPr>
        <w:pStyle w:val="ListBullet"/>
        <w:spacing w:after="40"/>
      </w:pPr>
      <w:r>
        <w:rPr>
          <w:b/>
          <w:i w:val="0"/>
          <w:sz w:val="20"/>
        </w:rPr>
        <w:t>Endogenous pneumococcal infection.</w:t>
      </w:r>
      <w:r>
        <w:rPr>
          <w:b w:val="0"/>
          <w:i w:val="0"/>
          <w:sz w:val="20"/>
        </w:rPr>
        <w:t xml:space="preserve"> 5 to 50% of people carry it in the nasopharynx, and infection usually comes from that carriage, from the person's own flora, especially if the host is immunocompromised.</w:t>
      </w:r>
    </w:p>
    <w:p>
      <w:pPr>
        <w:pStyle w:val="Heading2"/>
        <w:spacing w:before="200" w:after="100"/>
      </w:pPr>
      <w:r>
        <w:rPr>
          <w:rFonts w:ascii="Georgia" w:hAnsi="Georgia"/>
          <w:color w:val="1F4D2B"/>
        </w:rPr>
        <w:t>9.8 · Objective 1 — Neisseria gonorrhoeae and Neisseria meningitidis</w:t>
      </w:r>
    </w:p>
    <w:p>
      <w:pPr>
        <w:spacing w:after="120"/>
      </w:pPr>
      <w:r>
        <w:rPr>
          <w:b w:val="0"/>
          <w:i w:val="0"/>
        </w:rPr>
        <w:t xml:space="preserve">The family Neisseriaceae: </w:t>
      </w:r>
      <w:r>
        <w:rPr>
          <w:b/>
          <w:i w:val="0"/>
        </w:rPr>
        <w:t>Gram-negative cocci</w:t>
      </w:r>
      <w:r>
        <w:rPr>
          <w:b w:val="0"/>
          <w:i w:val="0"/>
        </w:rPr>
        <w:t xml:space="preserve">, and therefore </w:t>
      </w:r>
      <w:r>
        <w:rPr>
          <w:b/>
          <w:i w:val="0"/>
        </w:rPr>
        <w:t>only a thin layer of peptidoglycan</w:t>
      </w:r>
      <w:r>
        <w:rPr>
          <w:b w:val="0"/>
          <w:i w:val="0"/>
        </w:rPr>
        <w:t xml:space="preserve">; residents of the mucous membranes of warm-blooded animals; genera </w:t>
      </w:r>
      <w:r>
        <w:rPr>
          <w:b w:val="0"/>
          <w:i/>
        </w:rPr>
        <w:t>Neisseria</w:t>
      </w:r>
      <w:r>
        <w:rPr>
          <w:b w:val="0"/>
          <w:i w:val="0"/>
        </w:rPr>
        <w:t xml:space="preserve">, </w:t>
      </w:r>
      <w:r>
        <w:rPr>
          <w:b w:val="0"/>
          <w:i/>
        </w:rPr>
        <w:t>Branhamella</w:t>
      </w:r>
      <w:r>
        <w:rPr>
          <w:b w:val="0"/>
          <w:i w:val="0"/>
        </w:rPr>
        <w:t xml:space="preserve">, </w:t>
      </w:r>
      <w:r>
        <w:rPr>
          <w:b w:val="0"/>
          <w:i/>
        </w:rPr>
        <w:t>Moraxella</w:t>
      </w:r>
      <w:r>
        <w:rPr>
          <w:b w:val="0"/>
          <w:i w:val="0"/>
        </w:rPr>
        <w:t xml:space="preserve"> (with reclassifications by 16S ribosomal ribonucleic acid gene analysis). The two primary “frank” pathogens are </w:t>
      </w:r>
      <w:r>
        <w:rPr>
          <w:b w:val="0"/>
          <w:i/>
        </w:rPr>
        <w:t>Neisseria gonorrhoeae</w:t>
      </w:r>
      <w:r>
        <w:rPr>
          <w:b w:val="0"/>
          <w:i w:val="0"/>
        </w:rPr>
        <w:t xml:space="preserve"> and </w:t>
      </w:r>
      <w:r>
        <w:rPr>
          <w:b w:val="0"/>
          <w:i/>
        </w:rPr>
        <w:t>Neisseria meningitidis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 xml:space="preserve">Genus </w:t>
            </w:r>
            <w:r>
              <w:rPr>
                <w:b/>
                <w:i/>
                <w:color w:val="FFFFFF"/>
                <w:sz w:val="18"/>
              </w:rPr>
              <w:t>Neisseria</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Gram-negative, bean-shaped diplococci</w:t>
            </w:r>
            <w:r>
              <w:rPr>
                <w:b w:val="0"/>
                <w:i w:val="0"/>
                <w:sz w:val="18"/>
              </w:rPr>
              <w:t xml:space="preserve">; no flagella or spores (non-motile, non-spore-forming); capsules common; </w:t>
            </w:r>
            <w:r>
              <w:rPr>
                <w:b/>
                <w:i w:val="0"/>
                <w:sz w:val="18"/>
              </w:rPr>
              <w:t>pili</w:t>
            </w:r>
            <w:r>
              <w:rPr>
                <w:b w:val="0"/>
                <w:i w:val="0"/>
                <w:sz w:val="18"/>
              </w:rPr>
              <w:t xml:space="preserve"> (short protein fibers made of pilin) enhance attachment</w:t>
            </w:r>
          </w:p>
        </w:tc>
      </w:tr>
      <w:tr>
        <w:tc>
          <w:tcPr>
            <w:tcW w:type="dxa" w:w="5112"/>
          </w:tcPr>
          <w:p>
            <w:pPr>
              <w:spacing w:after="40"/>
            </w:pPr>
            <w:r>
              <w:rPr>
                <w:sz w:val="18"/>
              </w:rPr>
            </w:r>
            <w:r>
              <w:rPr>
                <w:b w:val="0"/>
                <w:i w:val="0"/>
                <w:sz w:val="18"/>
              </w:rPr>
              <w:t>Physiology</w:t>
            </w:r>
          </w:p>
        </w:tc>
        <w:tc>
          <w:tcPr>
            <w:tcW w:type="dxa" w:w="5112"/>
          </w:tcPr>
          <w:p>
            <w:pPr>
              <w:spacing w:after="40"/>
            </w:pPr>
            <w:r>
              <w:rPr>
                <w:sz w:val="18"/>
              </w:rPr>
            </w:r>
            <w:r>
              <w:rPr>
                <w:b/>
                <w:i w:val="0"/>
                <w:sz w:val="18"/>
              </w:rPr>
              <w:t>Strict parasites that do not survive long outside the human host</w:t>
            </w:r>
            <w:r>
              <w:rPr>
                <w:b w:val="0"/>
                <w:i w:val="0"/>
                <w:sz w:val="18"/>
              </w:rPr>
              <w:t xml:space="preserve">. Aerobic or </w:t>
            </w:r>
            <w:r>
              <w:rPr>
                <w:b/>
                <w:i w:val="0"/>
                <w:sz w:val="18"/>
              </w:rPr>
              <w:t>microaerophilic</w:t>
            </w:r>
            <w:r>
              <w:rPr>
                <w:b w:val="0"/>
                <w:i w:val="0"/>
                <w:sz w:val="18"/>
              </w:rPr>
              <w:t xml:space="preserve"> (requiring a low oxygen concentration). Produce both </w:t>
            </w:r>
            <w:r>
              <w:rPr>
                <w:b/>
                <w:i w:val="0"/>
                <w:sz w:val="18"/>
              </w:rPr>
              <w:t>catalase and cytochrome oxidase</w:t>
            </w:r>
          </w:p>
        </w:tc>
      </w:tr>
      <w:tr>
        <w:tc>
          <w:tcPr>
            <w:tcW w:type="dxa" w:w="5112"/>
          </w:tcPr>
          <w:p>
            <w:pPr>
              <w:spacing w:after="40"/>
            </w:pPr>
            <w:r>
              <w:rPr>
                <w:sz w:val="18"/>
              </w:rPr>
            </w:r>
            <w:r>
              <w:rPr>
                <w:b w:val="0"/>
                <w:i w:val="0"/>
                <w:sz w:val="18"/>
              </w:rPr>
              <w:t>Culture</w:t>
            </w:r>
          </w:p>
        </w:tc>
        <w:tc>
          <w:tcPr>
            <w:tcW w:type="dxa" w:w="5112"/>
          </w:tcPr>
          <w:p>
            <w:pPr>
              <w:spacing w:after="40"/>
            </w:pPr>
            <w:r>
              <w:rPr>
                <w:sz w:val="18"/>
              </w:rPr>
            </w:r>
            <w:r>
              <w:rPr>
                <w:b w:val="0"/>
                <w:i w:val="0"/>
                <w:sz w:val="18"/>
              </w:rPr>
              <w:t xml:space="preserve">Pathogenic species need enriched complex media and carbon dioxide-enhanced chambers, </w:t>
            </w:r>
            <w:r>
              <w:rPr>
                <w:b w:val="0"/>
                <w:i w:val="0"/>
                <w:sz w:val="18"/>
                <w:highlight w:val="yellow"/>
              </w:rPr>
              <w:t>such as chocolate agar in a “candle jar”</w:t>
            </w:r>
            <w:r>
              <w:rPr>
                <w:b w:val="0"/>
                <w:i w:val="0"/>
                <w:sz w:val="18"/>
              </w:rPr>
              <w:t xml:space="preserve"> (see 9.11)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Neisseria gonorrhoeae</w:t>
            </w:r>
            <w:r>
              <w:rPr>
                <w:b/>
                <w:i w:val="0"/>
                <w:color w:val="FFFFFF"/>
                <w:sz w:val="18"/>
              </w:rPr>
              <w:t xml:space="preserve"> (gonococcus)</w:t>
            </w:r>
          </w:p>
        </w:tc>
        <w:tc>
          <w:tcPr>
            <w:tcW w:type="dxa" w:w="3408"/>
            <w:shd w:val="clear" w:color="auto" w:fill="1F4D2B"/>
          </w:tcPr>
          <w:p>
            <w:pPr>
              <w:spacing w:after="40"/>
            </w:pPr>
            <w:r>
              <w:rPr>
                <w:b/>
                <w:color w:val="FFFFFF"/>
                <w:sz w:val="18"/>
              </w:rPr>
            </w:r>
            <w:r>
              <w:rPr>
                <w:b/>
                <w:i/>
                <w:color w:val="FFFFFF"/>
                <w:sz w:val="18"/>
              </w:rPr>
              <w:t>Neisseria meningitidis</w:t>
            </w:r>
            <w:r>
              <w:rPr>
                <w:b/>
                <w:i w:val="0"/>
                <w:color w:val="FFFFFF"/>
                <w:sz w:val="18"/>
              </w:rPr>
              <w:t xml:space="preserve"> (meningococcus)</w:t>
            </w:r>
          </w:p>
        </w:tc>
      </w:tr>
      <w:tr>
        <w:tc>
          <w:tcPr>
            <w:tcW w:type="dxa" w:w="3408"/>
          </w:tcPr>
          <w:p>
            <w:pPr>
              <w:spacing w:after="40"/>
            </w:pPr>
            <w:r>
              <w:rPr>
                <w:sz w:val="18"/>
              </w:rPr>
            </w:r>
            <w:r>
              <w:rPr>
                <w:b w:val="0"/>
                <w:i w:val="0"/>
                <w:sz w:val="18"/>
              </w:rPr>
              <w:t>Virulence</w:t>
            </w:r>
          </w:p>
        </w:tc>
        <w:tc>
          <w:tcPr>
            <w:tcW w:type="dxa" w:w="3408"/>
          </w:tcPr>
          <w:p>
            <w:pPr>
              <w:spacing w:after="40"/>
            </w:pPr>
            <w:r>
              <w:rPr>
                <w:sz w:val="18"/>
              </w:rPr>
            </w:r>
            <w:r>
              <w:rPr>
                <w:b/>
                <w:i w:val="0"/>
                <w:sz w:val="18"/>
              </w:rPr>
              <w:t>Fimbriae</w:t>
            </w:r>
            <w:r>
              <w:rPr>
                <w:b w:val="0"/>
                <w:i w:val="0"/>
                <w:sz w:val="18"/>
              </w:rPr>
              <w:t xml:space="preserve"> and other surface molecules for attachment, slowing phagocytosis. </w:t>
            </w:r>
            <w:r>
              <w:rPr>
                <w:b/>
                <w:i w:val="0"/>
                <w:sz w:val="18"/>
              </w:rPr>
              <w:t>IgA protease</w:t>
            </w:r>
            <w:r>
              <w:rPr>
                <w:b w:val="0"/>
                <w:i w:val="0"/>
                <w:sz w:val="18"/>
              </w:rPr>
              <w:t xml:space="preserve"> cleaves secretory immunoglobulin A, especially the dimer, the protective antibody of mucous membranes such as the genitourinary tract</w:t>
            </w:r>
          </w:p>
        </w:tc>
        <w:tc>
          <w:tcPr>
            <w:tcW w:type="dxa" w:w="3408"/>
          </w:tcPr>
          <w:p>
            <w:pPr>
              <w:spacing w:after="40"/>
            </w:pPr>
            <w:r>
              <w:rPr>
                <w:sz w:val="18"/>
              </w:rPr>
            </w:r>
            <w:r>
              <w:rPr>
                <w:b w:val="0"/>
                <w:i w:val="0"/>
                <w:sz w:val="18"/>
              </w:rPr>
              <w:t xml:space="preserve">Capsule, adhesive fimbriae, IgA protease, </w:t>
            </w:r>
            <w:r>
              <w:rPr>
                <w:b/>
                <w:i w:val="0"/>
                <w:sz w:val="18"/>
              </w:rPr>
              <w:t>endotoxin</w:t>
            </w:r>
            <w:r>
              <w:rPr>
                <w:b w:val="0"/>
                <w:i w:val="0"/>
                <w:sz w:val="18"/>
              </w:rPr>
              <w:t>. 12 strains</w:t>
            </w:r>
          </w:p>
        </w:tc>
      </w:tr>
      <w:tr>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 xml:space="preserve">Strictly human; in the top 5 sexually transmitted diseases. </w:t>
            </w:r>
            <w:r>
              <w:rPr>
                <w:b/>
                <w:i w:val="0"/>
                <w:sz w:val="18"/>
              </w:rPr>
              <w:t>Infectious dose 100–1,000 cells</w:t>
            </w:r>
            <w:r>
              <w:rPr>
                <w:b w:val="0"/>
                <w:i w:val="0"/>
                <w:sz w:val="18"/>
              </w:rPr>
              <w:t xml:space="preserve"> (fairly low). Survives </w:t>
            </w:r>
            <w:r>
              <w:rPr>
                <w:b/>
                <w:i w:val="0"/>
                <w:sz w:val="18"/>
              </w:rPr>
              <w:t>no more than 1–2 hours on fomites</w:t>
            </w:r>
          </w:p>
        </w:tc>
        <w:tc>
          <w:tcPr>
            <w:tcW w:type="dxa" w:w="3408"/>
          </w:tcPr>
          <w:p>
            <w:pPr>
              <w:spacing w:after="40"/>
            </w:pPr>
            <w:r>
              <w:rPr>
                <w:sz w:val="18"/>
              </w:rPr>
            </w:r>
            <w:r>
              <w:rPr>
                <w:b w:val="0"/>
                <w:i w:val="0"/>
                <w:sz w:val="18"/>
              </w:rPr>
              <w:t xml:space="preserve">Prevalent cause of meningitis, sporadic or epidemic. Reservoir: the </w:t>
            </w:r>
            <w:r>
              <w:rPr>
                <w:b/>
                <w:i w:val="0"/>
                <w:sz w:val="18"/>
              </w:rPr>
              <w:t>nasopharynx</w:t>
            </w:r>
            <w:r>
              <w:rPr>
                <w:b w:val="0"/>
                <w:i w:val="0"/>
                <w:sz w:val="18"/>
              </w:rPr>
              <w:t xml:space="preserve"> of 3–30% of adults, higher in institutional settings. High risk: </w:t>
            </w:r>
            <w:r>
              <w:rPr>
                <w:b/>
                <w:i w:val="0"/>
                <w:sz w:val="18"/>
              </w:rPr>
              <w:t>close quarters</w:t>
            </w:r>
            <w:r>
              <w:rPr>
                <w:b w:val="0"/>
                <w:i w:val="0"/>
                <w:sz w:val="18"/>
              </w:rPr>
              <w:t xml:space="preserve">, children </w:t>
            </w:r>
            <w:r>
              <w:rPr>
                <w:b/>
                <w:i w:val="0"/>
                <w:sz w:val="18"/>
              </w:rPr>
              <w:t>6 months–3 years</w:t>
            </w:r>
            <w:r>
              <w:rPr>
                <w:b w:val="0"/>
                <w:i w:val="0"/>
                <w:sz w:val="18"/>
              </w:rPr>
              <w:t xml:space="preserve">, and </w:t>
            </w:r>
            <w:r>
              <w:rPr>
                <w:b/>
                <w:i w:val="0"/>
                <w:sz w:val="18"/>
              </w:rPr>
              <w:t>10–20 years</w:t>
            </w:r>
            <w:r>
              <w:rPr>
                <w:b w:val="0"/>
                <w:i w:val="0"/>
                <w:sz w:val="18"/>
              </w:rPr>
              <w:t xml:space="preserve"> (</w:t>
            </w:r>
            <w:r>
              <w:rPr>
                <w:b/>
                <w:i w:val="0"/>
                <w:sz w:val="18"/>
              </w:rPr>
              <w:t>college dorms</w:t>
            </w:r>
            <w:r>
              <w:rPr>
                <w:b w:val="0"/>
                <w:i w:val="0"/>
                <w:sz w:val="18"/>
              </w:rPr>
              <w:t xml:space="preserve"> and apartments)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Asymptomatic in about </w:t>
            </w:r>
            <w:r>
              <w:rPr>
                <w:b/>
                <w:i w:val="0"/>
                <w:sz w:val="18"/>
              </w:rPr>
              <w:t>10% of males and 50% of females</w:t>
            </w:r>
            <w:r>
              <w:rPr>
                <w:b w:val="0"/>
                <w:i w:val="0"/>
                <w:sz w:val="18"/>
              </w:rPr>
              <w:t xml:space="preserve">. Males: </w:t>
            </w:r>
            <w:r>
              <w:rPr>
                <w:b/>
                <w:i w:val="0"/>
                <w:sz w:val="18"/>
              </w:rPr>
              <w:t>urethritis, yellowish discharge</w:t>
            </w:r>
            <w:r>
              <w:rPr>
                <w:b w:val="0"/>
                <w:i w:val="0"/>
                <w:sz w:val="18"/>
              </w:rPr>
              <w:t xml:space="preserve">, scarring, infertility. Females: vaginitis, urethritis, </w:t>
            </w:r>
            <w:r>
              <w:rPr>
                <w:b/>
                <w:i w:val="0"/>
                <w:sz w:val="18"/>
              </w:rPr>
              <w:t>salpingitis</w:t>
            </w:r>
            <w:r>
              <w:rPr>
                <w:b w:val="0"/>
                <w:i w:val="0"/>
                <w:sz w:val="18"/>
              </w:rPr>
              <w:t xml:space="preserve"> (pelvic inflammatory disease), a </w:t>
            </w:r>
            <w:r>
              <w:rPr>
                <w:b/>
                <w:i w:val="0"/>
                <w:sz w:val="18"/>
              </w:rPr>
              <w:t>common cause of sterility and ectopic tubal pregnancy</w:t>
            </w:r>
            <w:r>
              <w:rPr>
                <w:b w:val="0"/>
                <w:i w:val="0"/>
                <w:sz w:val="18"/>
              </w:rPr>
              <w:t xml:space="preserve">. Extragenital: anal, pharyngeal, conjunctivitis, septicemia, </w:t>
            </w:r>
            <w:r>
              <w:rPr>
                <w:b/>
                <w:i w:val="0"/>
                <w:sz w:val="18"/>
              </w:rPr>
              <w:t>arthritis</w:t>
            </w:r>
            <w:r>
              <w:rPr>
                <w:b w:val="0"/>
                <w:i w:val="0"/>
                <w:sz w:val="18"/>
              </w:rPr>
              <w:t xml:space="preserve">. Newborns: </w:t>
            </w:r>
            <w:r>
              <w:rPr>
                <w:b/>
                <w:i w:val="0"/>
                <w:sz w:val="18"/>
              </w:rPr>
              <w:t>gonococcal conjunctivitis</w:t>
            </w:r>
            <w:r>
              <w:rPr>
                <w:b w:val="0"/>
                <w:i w:val="0"/>
                <w:sz w:val="18"/>
              </w:rPr>
              <w:t xml:space="preserve"> from the birth canal (eye inflammation, blindness)</w:t>
            </w:r>
          </w:p>
        </w:tc>
        <w:tc>
          <w:tcPr>
            <w:tcW w:type="dxa" w:w="3408"/>
          </w:tcPr>
          <w:p>
            <w:pPr>
              <w:spacing w:after="40"/>
            </w:pPr>
            <w:r>
              <w:rPr>
                <w:sz w:val="18"/>
              </w:rPr>
            </w:r>
            <w:r>
              <w:rPr>
                <w:b w:val="0"/>
                <w:i w:val="0"/>
                <w:sz w:val="18"/>
              </w:rPr>
              <w:t xml:space="preserve">Bacteria enter the </w:t>
            </w:r>
            <w:r>
              <w:rPr>
                <w:b/>
                <w:i w:val="0"/>
                <w:sz w:val="18"/>
              </w:rPr>
              <w:t>bloodstream</w:t>
            </w:r>
            <w:r>
              <w:rPr>
                <w:b w:val="0"/>
                <w:i w:val="0"/>
                <w:sz w:val="18"/>
              </w:rPr>
              <w:t xml:space="preserve">, cross the blood-brain barrier, permeate the meninges and grow in the cerebrospinal fluid. Very rapid onset, neurological symptoms; </w:t>
            </w:r>
            <w:r>
              <w:rPr>
                <w:b/>
                <w:i w:val="0"/>
                <w:sz w:val="18"/>
              </w:rPr>
              <w:t>endotoxin causes hemorrhage and shock</w:t>
            </w:r>
            <w:r>
              <w:rPr>
                <w:b w:val="0"/>
                <w:i w:val="0"/>
                <w:sz w:val="18"/>
              </w:rPr>
              <w:t>; can be fatal</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i w:val="0"/>
                <w:sz w:val="18"/>
              </w:rPr>
              <w:t>Gram-negative intracellular diplococci (in neutrophils)</w:t>
            </w:r>
            <w:r>
              <w:rPr>
                <w:b w:val="0"/>
                <w:i w:val="0"/>
                <w:sz w:val="18"/>
              </w:rPr>
              <w:t xml:space="preserve"> from urethral, vaginal, cervical or eye exudate: a </w:t>
            </w:r>
            <w:r>
              <w:rPr>
                <w:b/>
                <w:i w:val="0"/>
                <w:sz w:val="18"/>
              </w:rPr>
              <w:t>presumptive identification</w:t>
            </w:r>
          </w:p>
        </w:tc>
        <w:tc>
          <w:tcPr>
            <w:tcW w:type="dxa" w:w="3408"/>
          </w:tcPr>
          <w:p>
            <w:pPr>
              <w:spacing w:after="40"/>
            </w:pPr>
            <w:r>
              <w:rPr>
                <w:sz w:val="18"/>
              </w:rPr>
            </w:r>
            <w:r>
              <w:rPr>
                <w:b w:val="0"/>
                <w:i w:val="0"/>
                <w:sz w:val="18"/>
              </w:rPr>
              <w:t xml:space="preserve">Gram stain of cerebrospinal fluid, blood or nasopharyngeal sample; culture for differentiation is </w:t>
            </w:r>
            <w:r>
              <w:rPr>
                <w:b/>
                <w:i w:val="0"/>
                <w:sz w:val="18"/>
              </w:rPr>
              <w:t>time consuming, so diagnosis may be delayed</w:t>
            </w:r>
            <w:r>
              <w:rPr>
                <w:b w:val="0"/>
                <w:i w:val="0"/>
                <w:sz w:val="18"/>
              </w:rPr>
              <w:t xml:space="preserve">; </w:t>
            </w:r>
            <w:r>
              <w:rPr>
                <w:b/>
                <w:i w:val="0"/>
                <w:sz w:val="18"/>
              </w:rPr>
              <w:t>rapid tests for capsular polysaccharide</w:t>
            </w:r>
          </w:p>
        </w:tc>
      </w:tr>
      <w:tr>
        <w:tc>
          <w:tcPr>
            <w:tcW w:type="dxa" w:w="3408"/>
          </w:tcPr>
          <w:p>
            <w:pPr>
              <w:spacing w:after="40"/>
            </w:pPr>
            <w:r>
              <w:rPr>
                <w:sz w:val="18"/>
              </w:rPr>
            </w:r>
            <w:r>
              <w:rPr>
                <w:b w:val="0"/>
                <w:i w:val="0"/>
                <w:sz w:val="18"/>
              </w:rPr>
              <w:t>Treatment and control</w:t>
            </w:r>
          </w:p>
        </w:tc>
        <w:tc>
          <w:tcPr>
            <w:tcW w:type="dxa" w:w="3408"/>
          </w:tcPr>
          <w:p>
            <w:pPr>
              <w:spacing w:after="40"/>
            </w:pPr>
            <w:r>
              <w:rPr>
                <w:sz w:val="18"/>
              </w:rPr>
            </w:r>
            <w:r>
              <w:rPr>
                <w:b w:val="0"/>
                <w:i w:val="0"/>
                <w:sz w:val="18"/>
              </w:rPr>
              <w:t xml:space="preserve">20–30% of new cases are </w:t>
            </w:r>
            <w:r>
              <w:rPr>
                <w:b/>
                <w:i w:val="0"/>
                <w:sz w:val="18"/>
              </w:rPr>
              <w:t>penicillinase-producing</w:t>
            </w:r>
            <w:r>
              <w:rPr>
                <w:b w:val="0"/>
                <w:i w:val="0"/>
                <w:sz w:val="18"/>
              </w:rPr>
              <w:t xml:space="preserve"> or tetracycline-resistant strains. </w:t>
            </w:r>
            <w:r>
              <w:rPr>
                <w:b/>
                <w:i w:val="0"/>
                <w:sz w:val="18"/>
              </w:rPr>
              <w:t>No long-term immunity</w:t>
            </w:r>
            <w:r>
              <w:rPr>
                <w:b w:val="0"/>
                <w:i w:val="0"/>
                <w:sz w:val="18"/>
              </w:rPr>
              <w:t xml:space="preserve"> is acquired, so infections recur. A </w:t>
            </w:r>
            <w:r>
              <w:rPr>
                <w:b/>
                <w:i w:val="0"/>
                <w:sz w:val="18"/>
              </w:rPr>
              <w:t>reportable disease</w:t>
            </w:r>
            <w:r>
              <w:rPr>
                <w:b w:val="0"/>
                <w:i w:val="0"/>
                <w:sz w:val="18"/>
              </w:rPr>
              <w:t xml:space="preserve">. Newborn eyes: </w:t>
            </w:r>
            <w:r>
              <w:rPr>
                <w:b/>
                <w:i w:val="0"/>
                <w:sz w:val="18"/>
              </w:rPr>
              <w:t>topical antibiotic prophylaxis immediately after birth</w:t>
            </w:r>
          </w:p>
        </w:tc>
        <w:tc>
          <w:tcPr>
            <w:tcW w:type="dxa" w:w="3408"/>
          </w:tcPr>
          <w:p>
            <w:pPr>
              <w:spacing w:after="40"/>
            </w:pPr>
            <w:r>
              <w:rPr>
                <w:sz w:val="18"/>
              </w:rPr>
            </w:r>
            <w:r>
              <w:rPr>
                <w:b/>
                <w:i w:val="0"/>
                <w:sz w:val="18"/>
              </w:rPr>
              <w:t>Intravenous penicillin G or a cephalosporin</w:t>
            </w:r>
            <w:r>
              <w:rPr>
                <w:b w:val="0"/>
                <w:i w:val="0"/>
                <w:sz w:val="18"/>
              </w:rPr>
              <w:t xml:space="preserve">; </w:t>
            </w:r>
            <w:r>
              <w:rPr>
                <w:b/>
                <w:i w:val="0"/>
                <w:sz w:val="18"/>
              </w:rPr>
              <w:t>prophylaxis for close contacts</w:t>
            </w:r>
            <w:r>
              <w:rPr>
                <w:b w:val="0"/>
                <w:i w:val="0"/>
                <w:sz w:val="18"/>
              </w:rPr>
              <w:t xml:space="preserve"> (family and children nearby, and medical personnel only after direct exposure to the patient’s secretions); the primary vaccine contains </w:t>
            </w:r>
            <w:r>
              <w:rPr>
                <w:b/>
                <w:i w:val="0"/>
                <w:sz w:val="18"/>
              </w:rPr>
              <w:t>purified capsular antigens</w:t>
            </w:r>
          </w:p>
        </w:tc>
      </w:tr>
    </w:tbl>
    <w:p>
      <w:pPr>
        <w:spacing w:after="80"/>
      </w:pPr>
    </w:p>
    <w:p>
      <w:pPr>
        <w:jc w:val="center"/>
      </w:pPr>
      <w:r>
        <w:drawing>
          <wp:inline xmlns:a="http://schemas.openxmlformats.org/drawingml/2006/main" xmlns:pic="http://schemas.openxmlformats.org/drawingml/2006/picture">
            <wp:extent cx="3840480" cy="2924223"/>
            <wp:docPr id="19" name="Picture 19"/>
            <wp:cNvGraphicFramePr>
              <a:graphicFrameLocks noChangeAspect="1"/>
            </wp:cNvGraphicFramePr>
            <a:graphic>
              <a:graphicData uri="http://schemas.openxmlformats.org/drawingml/2006/picture">
                <pic:pic>
                  <pic:nvPicPr>
                    <pic:cNvPr id="0" name="Microbiology_Exam_2_micro-exam-2-study-guide-images_l9-s72-gonococci.jpg"/>
                    <pic:cNvPicPr/>
                  </pic:nvPicPr>
                  <pic:blipFill>
                    <a:blip r:embed="rId27"/>
                    <a:stretch>
                      <a:fillRect/>
                    </a:stretch>
                  </pic:blipFill>
                  <pic:spPr>
                    <a:xfrm>
                      <a:off x="0" y="0"/>
                      <a:ext cx="3840480" cy="2924223"/>
                    </a:xfrm>
                    <a:prstGeom prst="rect"/>
                  </pic:spPr>
                </pic:pic>
              </a:graphicData>
            </a:graphic>
          </wp:inline>
        </w:drawing>
      </w:r>
    </w:p>
    <w:p>
      <w:pPr>
        <w:spacing w:after="160"/>
        <w:jc w:val="center"/>
      </w:pPr>
      <w:r>
        <w:rPr>
          <w:sz w:val="15"/>
        </w:rPr>
        <w:t>The presumptive picture of gonorrhea: Gram-negative (pink) diplococci inside neutrophils in urethral pus. Copyright © The McGraw-Hill Companies. Source: PAJ5200.Cocci of Med importance.pptx, Slide 72.</w:t>
      </w:r>
    </w:p>
    <w:p>
      <w:pPr>
        <w:jc w:val="center"/>
      </w:pPr>
      <w:r>
        <w:drawing>
          <wp:inline xmlns:a="http://schemas.openxmlformats.org/drawingml/2006/main" xmlns:pic="http://schemas.openxmlformats.org/drawingml/2006/picture">
            <wp:extent cx="3840480" cy="2582723"/>
            <wp:docPr id="20" name="Picture 20"/>
            <wp:cNvGraphicFramePr>
              <a:graphicFrameLocks noChangeAspect="1"/>
            </wp:cNvGraphicFramePr>
            <a:graphic>
              <a:graphicData uri="http://schemas.openxmlformats.org/drawingml/2006/picture">
                <pic:pic>
                  <pic:nvPicPr>
                    <pic:cNvPr id="0" name="Microbiology_Exam_2_micro-exam-2-study-guide-images_l9-s69-ascending-gonorrhea.jpg"/>
                    <pic:cNvPicPr/>
                  </pic:nvPicPr>
                  <pic:blipFill>
                    <a:blip r:embed="rId28"/>
                    <a:stretch>
                      <a:fillRect/>
                    </a:stretch>
                  </pic:blipFill>
                  <pic:spPr>
                    <a:xfrm>
                      <a:off x="0" y="0"/>
                      <a:ext cx="3840480" cy="2582723"/>
                    </a:xfrm>
                    <a:prstGeom prst="rect"/>
                  </pic:spPr>
                </pic:pic>
              </a:graphicData>
            </a:graphic>
          </wp:inline>
        </w:drawing>
      </w:r>
    </w:p>
    <w:p>
      <w:pPr>
        <w:spacing w:after="160"/>
        <w:jc w:val="center"/>
      </w:pPr>
      <w:r>
        <w:rPr>
          <w:sz w:val="15"/>
        </w:rPr>
        <w:t>Ascending gonorrhea in women: infection climbs from the cervix through the uterus into the fallopian tube ( salpingitis ). Tubal scarring explains the sterility and the ectopic tubal pregnancy ; the mixed anaerobic infection can spread to the peritoneum. Copyright © The McGraw-Hill Companies. Source: PAJ5200.Cocci of Med importance.pptx, Slide 69.</w:t>
      </w:r>
    </w:p>
    <w:p>
      <w:pPr>
        <w:jc w:val="center"/>
      </w:pPr>
      <w:r>
        <w:drawing>
          <wp:inline xmlns:a="http://schemas.openxmlformats.org/drawingml/2006/main" xmlns:pic="http://schemas.openxmlformats.org/drawingml/2006/picture">
            <wp:extent cx="3840480" cy="3339548"/>
            <wp:docPr id="21" name="Picture 21"/>
            <wp:cNvGraphicFramePr>
              <a:graphicFrameLocks noChangeAspect="1"/>
            </wp:cNvGraphicFramePr>
            <a:graphic>
              <a:graphicData uri="http://schemas.openxmlformats.org/drawingml/2006/picture">
                <pic:pic>
                  <pic:nvPicPr>
                    <pic:cNvPr id="0" name="Microbiology_Exam_2_micro-exam-2-study-guide-images_l9-s75-meningococcus.jpg"/>
                    <pic:cNvPicPr/>
                  </pic:nvPicPr>
                  <pic:blipFill>
                    <a:blip r:embed="rId29"/>
                    <a:stretch>
                      <a:fillRect/>
                    </a:stretch>
                  </pic:blipFill>
                  <pic:spPr>
                    <a:xfrm>
                      <a:off x="0" y="0"/>
                      <a:ext cx="3840480" cy="3339548"/>
                    </a:xfrm>
                    <a:prstGeom prst="rect"/>
                  </pic:spPr>
                </pic:pic>
              </a:graphicData>
            </a:graphic>
          </wp:inline>
        </w:drawing>
      </w:r>
    </w:p>
    <w:p>
      <w:pPr>
        <w:spacing w:after="160"/>
        <w:jc w:val="center"/>
      </w:pPr>
      <w:r>
        <w:rPr>
          <w:sz w:val="15"/>
        </w:rPr>
        <w:t>How the meningococcus gets from the nasopharynx (the initial infection site) to the meninges and the cerebrospinal fluid that bathes the brain and spinal cord — by way of the bloodstream and across the blood-brain barrier. Copyright © The McGraw-Hill Companies. Source: PAJ5200.Cocci of Med importance.pptx, Slide 75.</w:t>
      </w:r>
    </w:p>
    <w:p>
      <w:pPr>
        <w:pStyle w:val="Heading2"/>
        <w:spacing w:before="200" w:after="100"/>
      </w:pPr>
      <w:r>
        <w:rPr>
          <w:rFonts w:ascii="Georgia" w:hAnsi="Georgia"/>
          <w:color w:val="1F4D2B"/>
        </w:rPr>
        <w:t>9.9 · Objective 1 — Branhamella / Moraxella and Acinetobacter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Branhamella catarrhalis</w:t>
            </w:r>
            <w:r>
              <w:rPr>
                <w:b w:val="0"/>
                <w:i w:val="0"/>
                <w:sz w:val="18"/>
              </w:rPr>
              <w:t xml:space="preserve">, now </w:t>
            </w:r>
            <w:r>
              <w:rPr>
                <w:b w:val="0"/>
                <w:i/>
                <w:sz w:val="18"/>
              </w:rPr>
              <w:t>Moraxella</w:t>
            </w:r>
          </w:p>
        </w:tc>
        <w:tc>
          <w:tcPr>
            <w:tcW w:type="dxa" w:w="5112"/>
          </w:tcPr>
          <w:p>
            <w:pPr>
              <w:spacing w:after="40"/>
            </w:pPr>
            <w:r>
              <w:rPr>
                <w:sz w:val="18"/>
              </w:rPr>
            </w:r>
            <w:r>
              <w:rPr>
                <w:b w:val="0"/>
                <w:i w:val="0"/>
                <w:sz w:val="18"/>
              </w:rPr>
              <w:t xml:space="preserve">Found in the </w:t>
            </w:r>
            <w:r>
              <w:rPr>
                <w:b/>
                <w:i w:val="0"/>
                <w:sz w:val="18"/>
              </w:rPr>
              <w:t>nasopharynx</w:t>
            </w:r>
            <w:r>
              <w:rPr>
                <w:b w:val="0"/>
                <w:i w:val="0"/>
                <w:sz w:val="18"/>
              </w:rPr>
              <w:t xml:space="preserve">; a significant </w:t>
            </w:r>
            <w:r>
              <w:rPr>
                <w:b/>
                <w:i w:val="0"/>
                <w:sz w:val="18"/>
              </w:rPr>
              <w:t>opportunist in cancer, diabetic and alcoholic patients</w:t>
            </w:r>
            <w:r>
              <w:rPr>
                <w:b w:val="0"/>
                <w:i w:val="0"/>
                <w:sz w:val="18"/>
              </w:rPr>
              <w:t xml:space="preserve">. </w:t>
            </w:r>
            <w:r>
              <w:rPr>
                <w:b/>
                <w:i w:val="0"/>
                <w:sz w:val="18"/>
              </w:rPr>
              <w:t xml:space="preserve">Reclassified into the closely related genus </w:t>
            </w:r>
            <w:r>
              <w:rPr>
                <w:b/>
                <w:i/>
                <w:sz w:val="18"/>
              </w:rPr>
              <w:t>Moraxella</w:t>
            </w:r>
            <w:r>
              <w:rPr>
                <w:b w:val="0"/>
                <w:i w:val="0"/>
                <w:sz w:val="18"/>
              </w:rPr>
              <w:t xml:space="preserve"> by 16S ribosomal ribonucleic acid gene sequence analyses. Diplococci on the mucous membranes of humans and other primates</w:t>
            </w:r>
          </w:p>
        </w:tc>
      </w:tr>
      <w:tr>
        <w:tc>
          <w:tcPr>
            <w:tcW w:type="dxa" w:w="5112"/>
          </w:tcPr>
          <w:p>
            <w:pPr>
              <w:spacing w:after="40"/>
            </w:pPr>
            <w:r>
              <w:rPr>
                <w:sz w:val="18"/>
              </w:rPr>
            </w:r>
            <w:r>
              <w:rPr>
                <w:b w:val="0"/>
                <w:i/>
                <w:sz w:val="18"/>
              </w:rPr>
              <w:t>Acinetobacter baumannii</w:t>
            </w:r>
          </w:p>
        </w:tc>
        <w:tc>
          <w:tcPr>
            <w:tcW w:type="dxa" w:w="5112"/>
          </w:tcPr>
          <w:p>
            <w:pPr>
              <w:spacing w:after="40"/>
            </w:pPr>
            <w:r>
              <w:rPr>
                <w:sz w:val="18"/>
              </w:rPr>
            </w:r>
            <w:r>
              <w:rPr>
                <w:b w:val="0"/>
                <w:i w:val="0"/>
                <w:sz w:val="18"/>
              </w:rPr>
              <w:t xml:space="preserve">A </w:t>
            </w:r>
            <w:r>
              <w:rPr>
                <w:b/>
                <w:i w:val="0"/>
                <w:sz w:val="18"/>
              </w:rPr>
              <w:t>multidrug-resistant</w:t>
            </w:r>
            <w:r>
              <w:rPr>
                <w:b w:val="0"/>
                <w:i w:val="0"/>
                <w:sz w:val="18"/>
              </w:rPr>
              <w:t xml:space="preserve"> organism; </w:t>
            </w:r>
            <w:r>
              <w:rPr>
                <w:b/>
                <w:i w:val="0"/>
                <w:sz w:val="18"/>
              </w:rPr>
              <w:t>coccobacilli</w:t>
            </w:r>
            <w:r>
              <w:rPr>
                <w:b w:val="0"/>
                <w:i w:val="0"/>
                <w:sz w:val="18"/>
              </w:rPr>
              <w:t xml:space="preserve">. </w:t>
            </w:r>
            <w:r>
              <w:rPr>
                <w:b w:val="0"/>
                <w:i w:val="0"/>
                <w:sz w:val="18"/>
                <w:highlight w:val="yellow"/>
              </w:rPr>
              <w:t>Becoming an important hospital-acquired infection, especially in military hospitals</w:t>
            </w:r>
            <w:r>
              <w:rPr>
                <w:b w:val="0"/>
                <w:i w:val="0"/>
                <w:sz w:val="18"/>
              </w:rPr>
              <w:t>. The slide places it in “arid soil environments (such as Iraq and Afghanistan)”; see 9.11 on why that is the genus rather than this species</w:t>
            </w:r>
          </w:p>
        </w:tc>
      </w:tr>
    </w:tbl>
    <w:p>
      <w:pPr>
        <w:spacing w:after="80"/>
      </w:pPr>
    </w:p>
    <w:p>
      <w:pPr>
        <w:pStyle w:val="Heading2"/>
        <w:spacing w:before="200" w:after="100"/>
      </w:pPr>
      <w:r>
        <w:rPr>
          <w:rFonts w:ascii="Georgia" w:hAnsi="Georgia"/>
          <w:color w:val="1F4D2B"/>
        </w:rPr>
        <w:t>9.10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Reservoir or habitat</w:t>
            </w:r>
          </w:p>
        </w:tc>
        <w:tc>
          <w:tcPr>
            <w:tcW w:type="dxa" w:w="3408"/>
            <w:shd w:val="clear" w:color="auto" w:fill="1F4D2B"/>
          </w:tcPr>
          <w:p>
            <w:pPr>
              <w:spacing w:after="40"/>
            </w:pPr>
            <w:r>
              <w:rPr>
                <w:b/>
                <w:color w:val="FFFFFF"/>
                <w:sz w:val="18"/>
              </w:rPr>
            </w:r>
            <w:r>
              <w:rPr>
                <w:b/>
                <w:i w:val="0"/>
                <w:color w:val="FFFFFF"/>
                <w:sz w:val="18"/>
              </w:rPr>
              <w:t>How humans acquire it</w:t>
            </w:r>
          </w:p>
        </w:tc>
      </w:tr>
      <w:tr>
        <w:tc>
          <w:tcPr>
            <w:tcW w:type="dxa" w:w="3408"/>
          </w:tcPr>
          <w:p>
            <w:pPr>
              <w:spacing w:after="40"/>
            </w:pPr>
            <w:r>
              <w:rPr>
                <w:sz w:val="18"/>
              </w:rPr>
            </w:r>
            <w:r>
              <w:rPr>
                <w:b w:val="0"/>
                <w:i/>
                <w:sz w:val="18"/>
              </w:rPr>
              <w:t>Staphylococcus aureus</w:t>
            </w:r>
          </w:p>
        </w:tc>
        <w:tc>
          <w:tcPr>
            <w:tcW w:type="dxa" w:w="3408"/>
          </w:tcPr>
          <w:p>
            <w:pPr>
              <w:spacing w:after="40"/>
            </w:pPr>
            <w:r>
              <w:rPr>
                <w:sz w:val="18"/>
              </w:rPr>
            </w:r>
            <w:r>
              <w:rPr>
                <w:b w:val="0"/>
                <w:i w:val="0"/>
                <w:sz w:val="18"/>
              </w:rPr>
              <w:t>Anterior nares (20–60% of adults), skin, nasopharynx, intestines; fomites</w:t>
            </w:r>
          </w:p>
        </w:tc>
        <w:tc>
          <w:tcPr>
            <w:tcW w:type="dxa" w:w="3408"/>
          </w:tcPr>
          <w:p>
            <w:pPr>
              <w:spacing w:after="40"/>
            </w:pPr>
            <w:r>
              <w:rPr>
                <w:sz w:val="18"/>
              </w:rPr>
            </w:r>
            <w:r>
              <w:rPr>
                <w:b w:val="0"/>
                <w:i w:val="0"/>
                <w:sz w:val="18"/>
              </w:rPr>
              <w:t xml:space="preserve">Through wounds, follicles or glands; from another infected site or a medical device (bacteremia); </w:t>
            </w:r>
            <w:r>
              <w:rPr>
                <w:b/>
                <w:i w:val="0"/>
                <w:sz w:val="18"/>
              </w:rPr>
              <w:t>ingesting heat-stable enterotoxin</w:t>
            </w:r>
            <w:r>
              <w:rPr>
                <w:b w:val="0"/>
                <w:i w:val="0"/>
                <w:sz w:val="18"/>
              </w:rPr>
              <w:t xml:space="preserve"> (food intoxication); toxic shock with improper tampon use; community as well as hospital spread of resistant strains; shared towels, razors and toothbrushes</w:t>
            </w:r>
          </w:p>
        </w:tc>
      </w:tr>
      <w:tr>
        <w:tc>
          <w:tcPr>
            <w:tcW w:type="dxa" w:w="3408"/>
          </w:tcPr>
          <w:p>
            <w:pPr>
              <w:spacing w:after="40"/>
            </w:pPr>
            <w:r>
              <w:rPr>
                <w:sz w:val="18"/>
              </w:rPr>
            </w:r>
            <w:r>
              <w:rPr>
                <w:b w:val="0"/>
                <w:i w:val="0"/>
                <w:sz w:val="18"/>
              </w:rPr>
              <w:t>Coagulase-negative staphylococci</w:t>
            </w:r>
          </w:p>
        </w:tc>
        <w:tc>
          <w:tcPr>
            <w:tcW w:type="dxa" w:w="3408"/>
          </w:tcPr>
          <w:p>
            <w:pPr>
              <w:spacing w:after="40"/>
            </w:pPr>
            <w:r>
              <w:rPr>
                <w:sz w:val="18"/>
              </w:rPr>
            </w:r>
            <w:r>
              <w:rPr>
                <w:b w:val="0"/>
                <w:i w:val="0"/>
                <w:sz w:val="18"/>
              </w:rPr>
              <w:t>Skin and mucous membranes; apocrine glands; scalp, face and ear; skin, intestine, vagina</w:t>
            </w:r>
          </w:p>
        </w:tc>
        <w:tc>
          <w:tcPr>
            <w:tcW w:type="dxa" w:w="3408"/>
          </w:tcPr>
          <w:p>
            <w:pPr>
              <w:spacing w:after="40"/>
            </w:pPr>
            <w:r>
              <w:rPr>
                <w:sz w:val="18"/>
              </w:rPr>
            </w:r>
            <w:r>
              <w:rPr>
                <w:b/>
                <w:i w:val="0"/>
                <w:sz w:val="18"/>
              </w:rPr>
              <w:t>Penetrating broken skin</w:t>
            </w:r>
            <w:r>
              <w:rPr>
                <w:b w:val="0"/>
                <w:i w:val="0"/>
                <w:sz w:val="18"/>
              </w:rPr>
              <w:t xml:space="preserve"> (wound infection); nosocomial and opportunistic</w:t>
            </w:r>
          </w:p>
        </w:tc>
      </w:tr>
      <w:tr>
        <w:tc>
          <w:tcPr>
            <w:tcW w:type="dxa" w:w="3408"/>
          </w:tcPr>
          <w:p>
            <w:pPr>
              <w:spacing w:after="40"/>
            </w:pPr>
            <w:r>
              <w:rPr>
                <w:sz w:val="18"/>
              </w:rPr>
            </w:r>
            <w:r>
              <w:rPr>
                <w:b w:val="0"/>
                <w:i/>
                <w:sz w:val="18"/>
              </w:rPr>
              <w:t>Streptococcus pyogenes</w:t>
            </w:r>
          </w:p>
        </w:tc>
        <w:tc>
          <w:tcPr>
            <w:tcW w:type="dxa" w:w="3408"/>
          </w:tcPr>
          <w:p>
            <w:pPr>
              <w:spacing w:after="40"/>
            </w:pPr>
            <w:r>
              <w:rPr>
                <w:sz w:val="18"/>
              </w:rPr>
            </w:r>
            <w:r>
              <w:rPr>
                <w:b w:val="0"/>
                <w:i w:val="0"/>
                <w:sz w:val="18"/>
                <w:highlight w:val="yellow"/>
              </w:rPr>
              <w:t>Humans only</w:t>
            </w:r>
            <w:r>
              <w:rPr>
                <w:b w:val="0"/>
                <w:i w:val="0"/>
                <w:sz w:val="18"/>
              </w:rPr>
              <w:t>; throat, nasopharynx, occasionally skin; inapparent carriers</w:t>
            </w:r>
          </w:p>
        </w:tc>
        <w:tc>
          <w:tcPr>
            <w:tcW w:type="dxa" w:w="3408"/>
          </w:tcPr>
          <w:p>
            <w:pPr>
              <w:spacing w:after="40"/>
            </w:pPr>
            <w:r>
              <w:rPr>
                <w:sz w:val="18"/>
              </w:rPr>
            </w:r>
            <w:r>
              <w:rPr>
                <w:b/>
                <w:i w:val="0"/>
                <w:sz w:val="18"/>
              </w:rPr>
              <w:t>Contact, droplets, food and fomites</w:t>
            </w:r>
            <w:r>
              <w:rPr>
                <w:b w:val="0"/>
                <w:i w:val="0"/>
                <w:sz w:val="18"/>
              </w:rPr>
              <w:t>; enters by skin or pharynx; mostly children</w:t>
            </w:r>
          </w:p>
        </w:tc>
      </w:tr>
      <w:tr>
        <w:tc>
          <w:tcPr>
            <w:tcW w:type="dxa" w:w="3408"/>
          </w:tcPr>
          <w:p>
            <w:pPr>
              <w:spacing w:after="40"/>
            </w:pPr>
            <w:r>
              <w:rPr>
                <w:sz w:val="18"/>
              </w:rPr>
            </w:r>
            <w:r>
              <w:rPr>
                <w:b w:val="0"/>
                <w:i/>
                <w:sz w:val="18"/>
              </w:rPr>
              <w:t>Streptococcus agalactiae</w:t>
            </w:r>
            <w:r>
              <w:rPr>
                <w:b w:val="0"/>
                <w:i w:val="0"/>
                <w:sz w:val="18"/>
              </w:rPr>
              <w:t xml:space="preserve"> (group B)</w:t>
            </w:r>
          </w:p>
        </w:tc>
        <w:tc>
          <w:tcPr>
            <w:tcW w:type="dxa" w:w="3408"/>
          </w:tcPr>
          <w:p>
            <w:pPr>
              <w:spacing w:after="40"/>
            </w:pPr>
            <w:r>
              <w:rPr>
                <w:sz w:val="18"/>
              </w:rPr>
            </w:r>
            <w:r>
              <w:rPr>
                <w:b w:val="0"/>
                <w:i w:val="0"/>
                <w:sz w:val="18"/>
              </w:rPr>
              <w:t>Vagina, pharynx, large intestine</w:t>
            </w:r>
          </w:p>
        </w:tc>
        <w:tc>
          <w:tcPr>
            <w:tcW w:type="dxa" w:w="3408"/>
          </w:tcPr>
          <w:p>
            <w:pPr>
              <w:spacing w:after="40"/>
            </w:pPr>
            <w:r>
              <w:rPr>
                <w:sz w:val="18"/>
              </w:rPr>
            </w:r>
            <w:r>
              <w:rPr>
                <w:b w:val="0"/>
                <w:i w:val="0"/>
                <w:sz w:val="18"/>
              </w:rPr>
              <w:t xml:space="preserve">Transferred to the infant </w:t>
            </w:r>
            <w:r>
              <w:rPr>
                <w:b/>
                <w:i w:val="0"/>
                <w:sz w:val="18"/>
              </w:rPr>
              <w:t>during vaginal delivery</w:t>
            </w:r>
          </w:p>
        </w:tc>
      </w:tr>
      <w:tr>
        <w:tc>
          <w:tcPr>
            <w:tcW w:type="dxa" w:w="3408"/>
          </w:tcPr>
          <w:p>
            <w:pPr>
              <w:spacing w:after="40"/>
            </w:pPr>
            <w:r>
              <w:rPr>
                <w:sz w:val="18"/>
              </w:rPr>
            </w:r>
            <w:r>
              <w:rPr>
                <w:b w:val="0"/>
                <w:i w:val="0"/>
                <w:sz w:val="18"/>
              </w:rPr>
              <w:t>Enterococci (group D)</w:t>
            </w:r>
          </w:p>
        </w:tc>
        <w:tc>
          <w:tcPr>
            <w:tcW w:type="dxa" w:w="3408"/>
          </w:tcPr>
          <w:p>
            <w:pPr>
              <w:spacing w:after="40"/>
            </w:pPr>
            <w:r>
              <w:rPr>
                <w:sz w:val="18"/>
              </w:rPr>
            </w:r>
            <w:r>
              <w:rPr>
                <w:b w:val="0"/>
                <w:i w:val="0"/>
                <w:sz w:val="18"/>
              </w:rPr>
              <w:t>Large intestine</w:t>
            </w:r>
          </w:p>
        </w:tc>
        <w:tc>
          <w:tcPr>
            <w:tcW w:type="dxa" w:w="3408"/>
          </w:tcPr>
          <w:p>
            <w:pPr>
              <w:spacing w:after="40"/>
            </w:pPr>
            <w:r>
              <w:rPr>
                <w:sz w:val="18"/>
              </w:rPr>
            </w:r>
            <w:r>
              <w:rPr>
                <w:b w:val="0"/>
                <w:i w:val="0"/>
                <w:sz w:val="18"/>
              </w:rPr>
              <w:t>Opportunistic urinary, wound and skin infection in the debilitated</w:t>
            </w:r>
          </w:p>
        </w:tc>
      </w:tr>
      <w:tr>
        <w:tc>
          <w:tcPr>
            <w:tcW w:type="dxa" w:w="3408"/>
          </w:tcPr>
          <w:p>
            <w:pPr>
              <w:spacing w:after="40"/>
            </w:pPr>
            <w:r>
              <w:rPr>
                <w:sz w:val="18"/>
              </w:rPr>
            </w:r>
            <w:r>
              <w:rPr>
                <w:b w:val="0"/>
                <w:i w:val="0"/>
                <w:sz w:val="18"/>
              </w:rPr>
              <w:t>Viridans streptococci</w:t>
            </w:r>
          </w:p>
        </w:tc>
        <w:tc>
          <w:tcPr>
            <w:tcW w:type="dxa" w:w="3408"/>
          </w:tcPr>
          <w:p>
            <w:pPr>
              <w:spacing w:after="40"/>
            </w:pPr>
            <w:r>
              <w:rPr>
                <w:sz w:val="18"/>
              </w:rPr>
            </w:r>
            <w:r>
              <w:rPr>
                <w:b w:val="0"/>
                <w:i w:val="0"/>
                <w:sz w:val="18"/>
              </w:rPr>
              <w:t>Gums, teeth, oral cavity</w:t>
            </w:r>
          </w:p>
        </w:tc>
        <w:tc>
          <w:tcPr>
            <w:tcW w:type="dxa" w:w="3408"/>
          </w:tcPr>
          <w:p>
            <w:pPr>
              <w:spacing w:after="40"/>
            </w:pPr>
            <w:r>
              <w:rPr>
                <w:sz w:val="18"/>
              </w:rPr>
            </w:r>
            <w:r>
              <w:rPr>
                <w:b w:val="0"/>
                <w:i w:val="0"/>
                <w:sz w:val="18"/>
                <w:highlight w:val="yellow"/>
              </w:rPr>
              <w:t>Dental or surgical procedures</w:t>
            </w:r>
            <w:r>
              <w:rPr>
                <w:b w:val="0"/>
                <w:i w:val="0"/>
                <w:sz w:val="18"/>
              </w:rPr>
              <w:t xml:space="preserve"> let them in; blood-borne to damaged valves</w:t>
            </w:r>
          </w:p>
        </w:tc>
      </w:tr>
      <w:tr>
        <w:tc>
          <w:tcPr>
            <w:tcW w:type="dxa" w:w="3408"/>
          </w:tcPr>
          <w:p>
            <w:pPr>
              <w:spacing w:after="40"/>
            </w:pPr>
            <w:r>
              <w:rPr>
                <w:sz w:val="18"/>
              </w:rPr>
            </w:r>
            <w:r>
              <w:rPr>
                <w:b w:val="0"/>
                <w:i/>
                <w:sz w:val="18"/>
              </w:rPr>
              <w:t>Streptococcus pneumoniae</w:t>
            </w:r>
          </w:p>
        </w:tc>
        <w:tc>
          <w:tcPr>
            <w:tcW w:type="dxa" w:w="3408"/>
          </w:tcPr>
          <w:p>
            <w:pPr>
              <w:spacing w:after="40"/>
            </w:pPr>
            <w:r>
              <w:rPr>
                <w:sz w:val="18"/>
              </w:rPr>
            </w:r>
            <w:r>
              <w:rPr>
                <w:b w:val="0"/>
                <w:i w:val="0"/>
                <w:sz w:val="18"/>
              </w:rPr>
              <w:t>Nasopharynx (5–50%)</w:t>
            </w:r>
          </w:p>
        </w:tc>
        <w:tc>
          <w:tcPr>
            <w:tcW w:type="dxa" w:w="3408"/>
          </w:tcPr>
          <w:p>
            <w:pPr>
              <w:spacing w:after="40"/>
            </w:pPr>
            <w:r>
              <w:rPr>
                <w:sz w:val="18"/>
              </w:rPr>
            </w:r>
            <w:r>
              <w:rPr>
                <w:b/>
                <w:i w:val="0"/>
                <w:sz w:val="18"/>
              </w:rPr>
              <w:t>Endogenous</w:t>
            </w:r>
            <w:r>
              <w:rPr>
                <w:b w:val="0"/>
                <w:i w:val="0"/>
                <w:sz w:val="18"/>
              </w:rPr>
              <w:t xml:space="preserve">; </w:t>
            </w:r>
            <w:r>
              <w:rPr>
                <w:b/>
                <w:i w:val="0"/>
                <w:sz w:val="18"/>
              </w:rPr>
              <w:t>aspiration</w:t>
            </w:r>
            <w:r>
              <w:rPr>
                <w:b w:val="0"/>
                <w:i w:val="0"/>
                <w:sz w:val="18"/>
              </w:rPr>
              <w:t xml:space="preserve"> into the lungs; middle ear by the </w:t>
            </w:r>
            <w:r>
              <w:rPr>
                <w:b/>
                <w:i w:val="0"/>
                <w:sz w:val="18"/>
              </w:rPr>
              <w:t>eustachian tube</w:t>
            </w:r>
            <w:r>
              <w:rPr>
                <w:b w:val="0"/>
                <w:i w:val="0"/>
                <w:sz w:val="18"/>
              </w:rPr>
              <w:t>; does not survive long outside its habitat</w:t>
            </w:r>
          </w:p>
        </w:tc>
      </w:tr>
      <w:tr>
        <w:tc>
          <w:tcPr>
            <w:tcW w:type="dxa" w:w="3408"/>
          </w:tcPr>
          <w:p>
            <w:pPr>
              <w:spacing w:after="40"/>
            </w:pPr>
            <w:r>
              <w:rPr>
                <w:sz w:val="18"/>
              </w:rPr>
            </w:r>
            <w:r>
              <w:rPr>
                <w:b w:val="0"/>
                <w:i/>
                <w:sz w:val="18"/>
              </w:rPr>
              <w:t>Neisseria gonorrhoeae</w:t>
            </w:r>
          </w:p>
        </w:tc>
        <w:tc>
          <w:tcPr>
            <w:tcW w:type="dxa" w:w="3408"/>
          </w:tcPr>
          <w:p>
            <w:pPr>
              <w:spacing w:after="40"/>
            </w:pPr>
            <w:r>
              <w:rPr>
                <w:sz w:val="18"/>
              </w:rPr>
            </w:r>
            <w:r>
              <w:rPr>
                <w:b w:val="0"/>
                <w:i w:val="0"/>
                <w:sz w:val="18"/>
              </w:rPr>
              <w:t>Strictly human</w:t>
            </w:r>
          </w:p>
        </w:tc>
        <w:tc>
          <w:tcPr>
            <w:tcW w:type="dxa" w:w="3408"/>
          </w:tcPr>
          <w:p>
            <w:pPr>
              <w:spacing w:after="40"/>
            </w:pPr>
            <w:r>
              <w:rPr>
                <w:sz w:val="18"/>
              </w:rPr>
            </w:r>
            <w:r>
              <w:rPr>
                <w:b w:val="0"/>
                <w:i w:val="0"/>
                <w:sz w:val="18"/>
              </w:rPr>
              <w:t xml:space="preserve">Sexual contact (low infectious dose; 1–2 hours on fomites); newborns </w:t>
            </w:r>
            <w:r>
              <w:rPr>
                <w:b/>
                <w:i w:val="0"/>
                <w:sz w:val="18"/>
              </w:rPr>
              <w:t>through the birth canal</w:t>
            </w:r>
          </w:p>
        </w:tc>
      </w:tr>
      <w:tr>
        <w:tc>
          <w:tcPr>
            <w:tcW w:type="dxa" w:w="3408"/>
          </w:tcPr>
          <w:p>
            <w:pPr>
              <w:spacing w:after="40"/>
            </w:pPr>
            <w:r>
              <w:rPr>
                <w:sz w:val="18"/>
              </w:rPr>
            </w:r>
            <w:r>
              <w:rPr>
                <w:b w:val="0"/>
                <w:i/>
                <w:sz w:val="18"/>
              </w:rPr>
              <w:t>Neisseria meningitidis</w:t>
            </w:r>
          </w:p>
        </w:tc>
        <w:tc>
          <w:tcPr>
            <w:tcW w:type="dxa" w:w="3408"/>
          </w:tcPr>
          <w:p>
            <w:pPr>
              <w:spacing w:after="40"/>
            </w:pPr>
            <w:r>
              <w:rPr>
                <w:sz w:val="18"/>
              </w:rPr>
            </w:r>
            <w:r>
              <w:rPr>
                <w:b w:val="0"/>
                <w:i w:val="0"/>
                <w:sz w:val="18"/>
              </w:rPr>
              <w:t>Nasopharynx (3–30% of adults)</w:t>
            </w:r>
          </w:p>
        </w:tc>
        <w:tc>
          <w:tcPr>
            <w:tcW w:type="dxa" w:w="3408"/>
          </w:tcPr>
          <w:p>
            <w:pPr>
              <w:spacing w:after="40"/>
            </w:pPr>
            <w:r>
              <w:rPr>
                <w:sz w:val="18"/>
              </w:rPr>
            </w:r>
            <w:r>
              <w:rPr>
                <w:b w:val="0"/>
                <w:i w:val="0"/>
                <w:sz w:val="18"/>
              </w:rPr>
              <w:t xml:space="preserve">Close quarters, dormitories; from the nasopharynx into the </w:t>
            </w:r>
            <w:r>
              <w:rPr>
                <w:b/>
                <w:i w:val="0"/>
                <w:sz w:val="18"/>
              </w:rPr>
              <w:t>bloodstream</w:t>
            </w:r>
            <w:r>
              <w:rPr>
                <w:b w:val="0"/>
                <w:i w:val="0"/>
                <w:sz w:val="18"/>
              </w:rPr>
              <w:t xml:space="preserve"> and across the blood-brain barrier</w:t>
            </w:r>
          </w:p>
        </w:tc>
      </w:tr>
      <w:tr>
        <w:tc>
          <w:tcPr>
            <w:tcW w:type="dxa" w:w="3408"/>
          </w:tcPr>
          <w:p>
            <w:pPr>
              <w:spacing w:after="40"/>
            </w:pPr>
            <w:r>
              <w:rPr>
                <w:sz w:val="18"/>
              </w:rPr>
            </w:r>
            <w:r>
              <w:rPr>
                <w:b w:val="0"/>
                <w:i/>
                <w:sz w:val="18"/>
              </w:rPr>
              <w:t>Moraxella</w:t>
            </w:r>
          </w:p>
        </w:tc>
        <w:tc>
          <w:tcPr>
            <w:tcW w:type="dxa" w:w="3408"/>
          </w:tcPr>
          <w:p>
            <w:pPr>
              <w:spacing w:after="40"/>
            </w:pPr>
            <w:r>
              <w:rPr>
                <w:sz w:val="18"/>
              </w:rPr>
            </w:r>
            <w:r>
              <w:rPr>
                <w:b w:val="0"/>
                <w:i w:val="0"/>
                <w:sz w:val="18"/>
              </w:rPr>
              <w:t>Nasopharynx</w:t>
            </w:r>
          </w:p>
        </w:tc>
        <w:tc>
          <w:tcPr>
            <w:tcW w:type="dxa" w:w="3408"/>
          </w:tcPr>
          <w:p>
            <w:pPr>
              <w:spacing w:after="40"/>
            </w:pPr>
            <w:r>
              <w:rPr>
                <w:sz w:val="18"/>
              </w:rPr>
            </w:r>
            <w:r>
              <w:rPr>
                <w:b w:val="0"/>
                <w:i w:val="0"/>
                <w:sz w:val="18"/>
              </w:rPr>
              <w:t>Opportunist in cancer, diabetic, alcoholic patients</w:t>
            </w:r>
          </w:p>
        </w:tc>
      </w:tr>
      <w:tr>
        <w:tc>
          <w:tcPr>
            <w:tcW w:type="dxa" w:w="3408"/>
          </w:tcPr>
          <w:p>
            <w:pPr>
              <w:spacing w:after="40"/>
            </w:pPr>
            <w:r>
              <w:rPr>
                <w:sz w:val="18"/>
              </w:rPr>
            </w:r>
            <w:r>
              <w:rPr>
                <w:b w:val="0"/>
                <w:i/>
                <w:sz w:val="18"/>
              </w:rPr>
              <w:t>Acinetobacter baumannii</w:t>
            </w:r>
          </w:p>
        </w:tc>
        <w:tc>
          <w:tcPr>
            <w:tcW w:type="dxa" w:w="3408"/>
          </w:tcPr>
          <w:p>
            <w:pPr>
              <w:spacing w:after="40"/>
            </w:pPr>
            <w:r>
              <w:rPr>
                <w:sz w:val="18"/>
              </w:rPr>
            </w:r>
            <w:r>
              <w:rPr>
                <w:b w:val="0"/>
                <w:i w:val="0"/>
                <w:sz w:val="18"/>
              </w:rPr>
              <w:t>Hospital environments (the genus lives in soil and water; see 9.11)</w:t>
            </w:r>
          </w:p>
        </w:tc>
        <w:tc>
          <w:tcPr>
            <w:tcW w:type="dxa" w:w="3408"/>
          </w:tcPr>
          <w:p>
            <w:pPr>
              <w:spacing w:after="40"/>
            </w:pPr>
            <w:r>
              <w:rPr>
                <w:sz w:val="18"/>
              </w:rPr>
            </w:r>
            <w:r>
              <w:rPr>
                <w:b w:val="0"/>
                <w:i w:val="0"/>
                <w:sz w:val="18"/>
              </w:rPr>
              <w:t>Hospital acquired, especially in military hospitals</w:t>
            </w:r>
          </w:p>
        </w:tc>
      </w:tr>
    </w:tbl>
    <w:p>
      <w:pPr>
        <w:spacing w:after="80"/>
      </w:pPr>
    </w:p>
    <w:p>
      <w:pPr>
        <w:pStyle w:val="Heading2"/>
        <w:spacing w:before="200" w:after="100"/>
      </w:pPr>
      <w:r>
        <w:rPr>
          <w:rFonts w:ascii="Georgia" w:hAnsi="Georgia"/>
          <w:color w:val="1F4D2B"/>
        </w:rPr>
        <w:t>9.11 · Where the slides, the recording and the evidence disagree</w:t>
      </w:r>
    </w:p>
    <w:p>
      <w:pPr>
        <w:spacing w:after="120"/>
      </w:pPr>
      <w:r>
        <w:rPr>
          <w:b w:val="0"/>
          <w:i w:val="0"/>
        </w:rPr>
        <w:t xml:space="preserve">The rule for these quizzes is that </w:t>
      </w:r>
      <w:r>
        <w:rPr>
          <w:b/>
          <w:i w:val="0"/>
        </w:rPr>
        <w:t>what is medically true wins</w:t>
      </w:r>
      <w:r>
        <w:rPr>
          <w:b w:val="0"/>
          <w:i w:val="0"/>
        </w:rPr>
        <w:t>. Each item below says what the slide or the recording says, what is true, and how the questions are keyed.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 says</w:t>
            </w:r>
          </w:p>
        </w:tc>
        <w:tc>
          <w:tcPr>
            <w:tcW w:type="dxa" w:w="3408"/>
            <w:shd w:val="clear" w:color="auto" w:fill="1F4D2B"/>
          </w:tcPr>
          <w:p>
            <w:pPr>
              <w:spacing w:after="40"/>
            </w:pPr>
            <w:r>
              <w:rPr>
                <w:b/>
                <w:color w:val="FFFFFF"/>
                <w:sz w:val="18"/>
              </w:rPr>
            </w:r>
            <w:r>
              <w:rPr>
                <w:b/>
                <w:i w:val="0"/>
                <w:color w:val="FFFFFF"/>
                <w:sz w:val="18"/>
              </w:rPr>
              <w:t>What is true</w:t>
            </w:r>
          </w:p>
        </w:tc>
        <w:tc>
          <w:tcPr>
            <w:tcW w:type="dxa" w:w="3408"/>
            <w:shd w:val="clear" w:color="auto" w:fill="1F4D2B"/>
          </w:tcPr>
          <w:p>
            <w:pPr>
              <w:spacing w:after="40"/>
            </w:pPr>
            <w:r>
              <w:rPr>
                <w:b/>
                <w:color w:val="FFFFFF"/>
                <w:sz w:val="18"/>
              </w:rPr>
            </w:r>
            <w:r>
              <w:rPr>
                <w:b/>
                <w:i w:val="0"/>
                <w:color w:val="FFFFFF"/>
                <w:sz w:val="18"/>
              </w:rPr>
              <w:t>How the quizzes handle it</w:t>
            </w:r>
          </w:p>
        </w:tc>
      </w:tr>
      <w:tr>
        <w:tc>
          <w:tcPr>
            <w:tcW w:type="dxa" w:w="3408"/>
          </w:tcPr>
          <w:p>
            <w:pPr>
              <w:spacing w:after="40"/>
            </w:pPr>
            <w:r>
              <w:rPr>
                <w:sz w:val="18"/>
              </w:rPr>
            </w:r>
            <w:r>
              <w:rPr>
                <w:b w:val="0"/>
                <w:i w:val="0"/>
                <w:sz w:val="18"/>
              </w:rPr>
              <w:t xml:space="preserve">Slide 38: group B treatment “usually with IV antibiotics during vaginal delivery; </w:t>
            </w:r>
            <w:r>
              <w:rPr>
                <w:b/>
                <w:i w:val="0"/>
                <w:sz w:val="18"/>
              </w:rPr>
              <w:t>streptomycin</w:t>
            </w:r>
            <w:r>
              <w:rPr>
                <w:b w:val="0"/>
                <w:i w:val="0"/>
                <w:sz w:val="18"/>
              </w:rPr>
              <w:t xml:space="preserve"> is commonly used” — and the recording describes intravenous streptomycin [29:18]</w:t>
            </w:r>
          </w:p>
        </w:tc>
        <w:tc>
          <w:tcPr>
            <w:tcW w:type="dxa" w:w="3408"/>
          </w:tcPr>
          <w:p>
            <w:pPr>
              <w:spacing w:after="40"/>
            </w:pPr>
            <w:r>
              <w:rPr>
                <w:sz w:val="18"/>
              </w:rPr>
            </w:r>
            <w:r>
              <w:rPr>
                <w:b w:val="0"/>
                <w:i w:val="0"/>
                <w:sz w:val="18"/>
              </w:rPr>
              <w:t xml:space="preserve">Intrapartum prophylaxis for group B Streptococcus is intravenous </w:t>
            </w:r>
            <w:r>
              <w:rPr>
                <w:b/>
                <w:i w:val="0"/>
                <w:sz w:val="18"/>
              </w:rPr>
              <w:t>penicillin</w:t>
            </w:r>
            <w:r>
              <w:rPr>
                <w:b w:val="0"/>
                <w:i w:val="0"/>
                <w:sz w:val="18"/>
              </w:rPr>
              <w:t xml:space="preserve"> (ampicillin the alternative; other drugs for penicillin allergy). Streptomycin is not used</w:t>
            </w:r>
          </w:p>
        </w:tc>
        <w:tc>
          <w:tcPr>
            <w:tcW w:type="dxa" w:w="3408"/>
          </w:tcPr>
          <w:p>
            <w:pPr>
              <w:spacing w:after="40"/>
            </w:pPr>
            <w:r>
              <w:rPr>
                <w:sz w:val="18"/>
              </w:rPr>
            </w:r>
            <w:r>
              <w:rPr>
                <w:b w:val="0"/>
                <w:i w:val="0"/>
                <w:sz w:val="18"/>
              </w:rPr>
              <w:t xml:space="preserve">No question names the intrapartum drug. The treatment question keys </w:t>
            </w:r>
            <w:r>
              <w:rPr>
                <w:b/>
                <w:i w:val="0"/>
                <w:sz w:val="18"/>
              </w:rPr>
              <w:t>penicillin</w:t>
            </w:r>
            <w:r>
              <w:rPr>
                <w:b w:val="0"/>
                <w:i w:val="0"/>
                <w:sz w:val="18"/>
              </w:rPr>
              <w:t xml:space="preserve"> for groups A and B (slide 44)</w:t>
            </w:r>
          </w:p>
        </w:tc>
      </w:tr>
      <w:tr>
        <w:tc>
          <w:tcPr>
            <w:tcW w:type="dxa" w:w="3408"/>
          </w:tcPr>
          <w:p>
            <w:pPr>
              <w:spacing w:after="40"/>
            </w:pPr>
            <w:r>
              <w:rPr>
                <w:sz w:val="18"/>
              </w:rPr>
            </w:r>
            <w:r>
              <w:rPr>
                <w:b w:val="0"/>
                <w:i w:val="0"/>
                <w:sz w:val="18"/>
              </w:rPr>
              <w:t>Slide 14: toxic shock “can be transmitted to males during unprotected sex”</w:t>
            </w:r>
          </w:p>
        </w:tc>
        <w:tc>
          <w:tcPr>
            <w:tcW w:type="dxa" w:w="3408"/>
          </w:tcPr>
          <w:p>
            <w:pPr>
              <w:spacing w:after="40"/>
            </w:pPr>
            <w:r>
              <w:rPr>
                <w:sz w:val="18"/>
              </w:rPr>
            </w:r>
            <w:r>
              <w:rPr>
                <w:b w:val="0"/>
                <w:i w:val="0"/>
                <w:sz w:val="18"/>
              </w:rPr>
              <w:t xml:space="preserve">Toxic shock syndrome is a toxin illness from </w:t>
            </w:r>
            <w:r>
              <w:rPr>
                <w:b w:val="0"/>
                <w:i/>
                <w:sz w:val="18"/>
              </w:rPr>
              <w:t>Staphylococcus aureus</w:t>
            </w:r>
            <w:r>
              <w:rPr>
                <w:b w:val="0"/>
                <w:i w:val="0"/>
                <w:sz w:val="18"/>
              </w:rPr>
              <w:t xml:space="preserve"> the person is colonized or infected with; it is not sexually transmitted. About half of cases today are not related to menstruation</w:t>
            </w:r>
          </w:p>
        </w:tc>
        <w:tc>
          <w:tcPr>
            <w:tcW w:type="dxa" w:w="3408"/>
          </w:tcPr>
          <w:p>
            <w:pPr>
              <w:spacing w:after="40"/>
            </w:pPr>
            <w:r>
              <w:rPr>
                <w:sz w:val="18"/>
              </w:rPr>
            </w:r>
            <w:r>
              <w:rPr>
                <w:b w:val="0"/>
                <w:i w:val="0"/>
                <w:sz w:val="18"/>
              </w:rPr>
              <w:t>Not asked. The tampon question says “classically associated”, not “usually”</w:t>
            </w:r>
          </w:p>
        </w:tc>
      </w:tr>
      <w:tr>
        <w:tc>
          <w:tcPr>
            <w:tcW w:type="dxa" w:w="3408"/>
          </w:tcPr>
          <w:p>
            <w:pPr>
              <w:spacing w:after="40"/>
            </w:pPr>
            <w:r>
              <w:rPr>
                <w:sz w:val="18"/>
              </w:rPr>
            </w:r>
            <w:r>
              <w:rPr>
                <w:b w:val="0"/>
                <w:i w:val="0"/>
                <w:sz w:val="18"/>
              </w:rPr>
              <w:t>Slide 30: superantigens release “tissue necrotic factor”</w:t>
            </w:r>
          </w:p>
        </w:tc>
        <w:tc>
          <w:tcPr>
            <w:tcW w:type="dxa" w:w="3408"/>
          </w:tcPr>
          <w:p>
            <w:pPr>
              <w:spacing w:after="40"/>
            </w:pPr>
            <w:r>
              <w:rPr>
                <w:sz w:val="18"/>
              </w:rPr>
            </w:r>
            <w:r>
              <w:rPr>
                <w:b w:val="0"/>
                <w:i w:val="0"/>
                <w:sz w:val="18"/>
              </w:rPr>
              <w:t xml:space="preserve">The cytokine is </w:t>
            </w:r>
            <w:r>
              <w:rPr>
                <w:b/>
                <w:i w:val="0"/>
                <w:sz w:val="18"/>
              </w:rPr>
              <w:t>tumor</w:t>
            </w:r>
            <w:r>
              <w:rPr>
                <w:b w:val="0"/>
                <w:i w:val="0"/>
                <w:sz w:val="18"/>
              </w:rPr>
              <w:t xml:space="preserve"> necrosis factor</w:t>
            </w:r>
          </w:p>
        </w:tc>
        <w:tc>
          <w:tcPr>
            <w:tcW w:type="dxa" w:w="3408"/>
          </w:tcPr>
          <w:p>
            <w:pPr>
              <w:spacing w:after="40"/>
            </w:pPr>
            <w:r>
              <w:rPr>
                <w:sz w:val="18"/>
              </w:rPr>
            </w:r>
            <w:r>
              <w:rPr>
                <w:b w:val="0"/>
                <w:i w:val="0"/>
                <w:sz w:val="18"/>
              </w:rPr>
              <w:t>Keyed as the slide’s “strong monocyte and lymphocyte stimulants”</w:t>
            </w:r>
          </w:p>
        </w:tc>
      </w:tr>
      <w:tr>
        <w:tc>
          <w:tcPr>
            <w:tcW w:type="dxa" w:w="3408"/>
          </w:tcPr>
          <w:p>
            <w:pPr>
              <w:spacing w:after="40"/>
            </w:pPr>
            <w:r>
              <w:rPr>
                <w:sz w:val="18"/>
              </w:rPr>
            </w:r>
            <w:r>
              <w:rPr>
                <w:b w:val="0"/>
                <w:i w:val="0"/>
                <w:sz w:val="18"/>
              </w:rPr>
              <w:t>Slide 57: a candle jar, “in which most of the oxygen is depleted”; the recording calls chocolate agar a medium for “anaerobic cultures” [37:43, 44:16]</w:t>
            </w:r>
          </w:p>
        </w:tc>
        <w:tc>
          <w:tcPr>
            <w:tcW w:type="dxa" w:w="3408"/>
          </w:tcPr>
          <w:p>
            <w:pPr>
              <w:spacing w:after="40"/>
            </w:pPr>
            <w:r>
              <w:rPr>
                <w:sz w:val="18"/>
              </w:rPr>
            </w:r>
            <w:r>
              <w:rPr>
                <w:b w:val="0"/>
                <w:i w:val="0"/>
                <w:sz w:val="18"/>
              </w:rPr>
              <w:t xml:space="preserve">A candle jar raises carbon dioxide to a few percent and leaves most of the oxygen. Chocolate agar is an </w:t>
            </w:r>
            <w:r>
              <w:rPr>
                <w:b/>
                <w:i w:val="0"/>
                <w:sz w:val="18"/>
              </w:rPr>
              <w:t>enriched</w:t>
            </w:r>
            <w:r>
              <w:rPr>
                <w:b w:val="0"/>
                <w:i w:val="0"/>
                <w:sz w:val="18"/>
              </w:rPr>
              <w:t xml:space="preserve"> medium for fastidious organisms such as </w:t>
            </w:r>
            <w:r>
              <w:rPr>
                <w:b w:val="0"/>
                <w:i/>
                <w:sz w:val="18"/>
              </w:rPr>
              <w:t>Neisseria</w:t>
            </w:r>
            <w:r>
              <w:rPr>
                <w:b w:val="0"/>
                <w:i w:val="0"/>
                <w:sz w:val="18"/>
              </w:rPr>
              <w:t xml:space="preserve"> and the pneumococcus, often incubated in extra carbon dioxide; </w:t>
            </w:r>
            <w:r>
              <w:rPr>
                <w:b w:val="0"/>
                <w:i/>
                <w:sz w:val="18"/>
              </w:rPr>
              <w:t>Neisseria</w:t>
            </w:r>
            <w:r>
              <w:rPr>
                <w:b w:val="0"/>
                <w:i w:val="0"/>
                <w:sz w:val="18"/>
              </w:rPr>
              <w:t xml:space="preserve"> are aerobic or microaerophilic, not anaerobes. (The Lecture 8 slide that calls chocolate agar “mainly used for anaerobic culturing” has the same problem)</w:t>
            </w:r>
          </w:p>
        </w:tc>
        <w:tc>
          <w:tcPr>
            <w:tcW w:type="dxa" w:w="3408"/>
          </w:tcPr>
          <w:p>
            <w:pPr>
              <w:spacing w:after="40"/>
            </w:pPr>
            <w:r>
              <w:rPr>
                <w:sz w:val="18"/>
              </w:rPr>
            </w:r>
            <w:r>
              <w:rPr>
                <w:b w:val="0"/>
                <w:i w:val="0"/>
                <w:sz w:val="18"/>
              </w:rPr>
              <w:t xml:space="preserve">Keyed as </w:t>
            </w:r>
            <w:r>
              <w:rPr>
                <w:b/>
                <w:i w:val="0"/>
                <w:sz w:val="18"/>
              </w:rPr>
              <w:t>chocolate agar in a candle jar</w:t>
            </w:r>
            <w:r>
              <w:rPr>
                <w:b w:val="0"/>
                <w:i w:val="0"/>
                <w:sz w:val="18"/>
              </w:rPr>
              <w:t xml:space="preserve">, with </w:t>
            </w:r>
            <w:r>
              <w:rPr>
                <w:b/>
                <w:i w:val="0"/>
                <w:sz w:val="18"/>
              </w:rPr>
              <w:t>enhanced carbon dioxide</w:t>
            </w:r>
            <w:r>
              <w:rPr>
                <w:b w:val="0"/>
                <w:i w:val="0"/>
                <w:sz w:val="18"/>
              </w:rPr>
              <w:t xml:space="preserve"> as what the jar provides</w:t>
            </w:r>
          </w:p>
        </w:tc>
      </w:tr>
      <w:tr>
        <w:tc>
          <w:tcPr>
            <w:tcW w:type="dxa" w:w="3408"/>
          </w:tcPr>
          <w:p>
            <w:pPr>
              <w:spacing w:after="40"/>
            </w:pPr>
            <w:r>
              <w:rPr>
                <w:sz w:val="18"/>
              </w:rPr>
            </w:r>
            <w:r>
              <w:rPr>
                <w:b w:val="0"/>
                <w:i w:val="0"/>
                <w:sz w:val="18"/>
              </w:rPr>
              <w:t>Recording: pneumococcal vaccines “recommended every year” [38:48]; slide 53: a capsular antigen vaccine for older adults</w:t>
            </w:r>
          </w:p>
        </w:tc>
        <w:tc>
          <w:tcPr>
            <w:tcW w:type="dxa" w:w="3408"/>
          </w:tcPr>
          <w:p>
            <w:pPr>
              <w:spacing w:after="40"/>
            </w:pPr>
            <w:r>
              <w:rPr>
                <w:sz w:val="18"/>
              </w:rPr>
            </w:r>
            <w:r>
              <w:rPr>
                <w:b w:val="0"/>
                <w:i w:val="0"/>
                <w:sz w:val="18"/>
              </w:rPr>
              <w:t xml:space="preserve">Pneumococcal vaccines are not annual. Current United States adult schedules use </w:t>
            </w:r>
            <w:r>
              <w:rPr>
                <w:b/>
                <w:i w:val="0"/>
                <w:sz w:val="18"/>
              </w:rPr>
              <w:t>conjugate</w:t>
            </w:r>
            <w:r>
              <w:rPr>
                <w:b w:val="0"/>
                <w:i w:val="0"/>
                <w:sz w:val="18"/>
              </w:rPr>
              <w:t xml:space="preserve"> vaccines as well</w:t>
            </w:r>
          </w:p>
        </w:tc>
        <w:tc>
          <w:tcPr>
            <w:tcW w:type="dxa" w:w="3408"/>
          </w:tcPr>
          <w:p>
            <w:pPr>
              <w:spacing w:after="40"/>
            </w:pPr>
            <w:r>
              <w:rPr>
                <w:sz w:val="18"/>
              </w:rPr>
            </w:r>
            <w:r>
              <w:rPr>
                <w:b w:val="0"/>
                <w:i w:val="0"/>
                <w:sz w:val="18"/>
              </w:rPr>
              <w:t xml:space="preserve">Only the children’s </w:t>
            </w:r>
            <w:r>
              <w:rPr>
                <w:b/>
                <w:i w:val="0"/>
                <w:sz w:val="18"/>
              </w:rPr>
              <w:t>conjugate vaccine</w:t>
            </w:r>
            <w:r>
              <w:rPr>
                <w:b w:val="0"/>
                <w:i w:val="0"/>
                <w:sz w:val="18"/>
              </w:rPr>
              <w:t xml:space="preserve"> is keyed</w:t>
            </w:r>
          </w:p>
        </w:tc>
      </w:tr>
      <w:tr>
        <w:tc>
          <w:tcPr>
            <w:tcW w:type="dxa" w:w="3408"/>
          </w:tcPr>
          <w:p>
            <w:pPr>
              <w:spacing w:after="40"/>
            </w:pPr>
            <w:r>
              <w:rPr>
                <w:sz w:val="18"/>
              </w:rPr>
            </w:r>
            <w:r>
              <w:rPr>
                <w:b w:val="0"/>
                <w:i w:val="0"/>
                <w:sz w:val="18"/>
              </w:rPr>
              <w:t xml:space="preserve">Recording: a pregnant woman diagnosed with a sexually transmitted disease will very likely be advised to have a </w:t>
            </w:r>
            <w:r>
              <w:rPr>
                <w:b/>
                <w:i w:val="0"/>
                <w:sz w:val="18"/>
              </w:rPr>
              <w:t>cesarean section</w:t>
            </w:r>
            <w:r>
              <w:rPr>
                <w:b w:val="0"/>
                <w:i w:val="0"/>
                <w:sz w:val="18"/>
              </w:rPr>
              <w:t xml:space="preserve"> [53:44]</w:t>
            </w:r>
          </w:p>
        </w:tc>
        <w:tc>
          <w:tcPr>
            <w:tcW w:type="dxa" w:w="3408"/>
          </w:tcPr>
          <w:p>
            <w:pPr>
              <w:spacing w:after="40"/>
            </w:pPr>
            <w:r>
              <w:rPr>
                <w:sz w:val="18"/>
              </w:rPr>
            </w:r>
            <w:r>
              <w:rPr>
                <w:b w:val="0"/>
                <w:i w:val="0"/>
                <w:sz w:val="18"/>
              </w:rPr>
              <w:t>Not true of gonorrhea, which is treated with antibiotics; the newborn is protected by eye prophylaxis</w:t>
            </w:r>
          </w:p>
        </w:tc>
        <w:tc>
          <w:tcPr>
            <w:tcW w:type="dxa" w:w="3408"/>
          </w:tcPr>
          <w:p>
            <w:pPr>
              <w:spacing w:after="40"/>
            </w:pPr>
            <w:r>
              <w:rPr>
                <w:sz w:val="18"/>
              </w:rPr>
            </w:r>
            <w:r>
              <w:rPr>
                <w:b w:val="0"/>
                <w:i w:val="0"/>
                <w:sz w:val="18"/>
              </w:rPr>
              <w:t xml:space="preserve">Keyed as </w:t>
            </w:r>
            <w:r>
              <w:rPr>
                <w:b/>
                <w:i w:val="0"/>
                <w:sz w:val="18"/>
              </w:rPr>
              <w:t>topical antibiotic prophylaxis at birth</w:t>
            </w:r>
            <w:r>
              <w:rPr>
                <w:b w:val="0"/>
                <w:i w:val="0"/>
                <w:sz w:val="18"/>
              </w:rPr>
              <w:t xml:space="preserve"> (slide 70); routine cesarean appears only as a refuted distractor</w:t>
            </w:r>
          </w:p>
        </w:tc>
      </w:tr>
      <w:tr>
        <w:tc>
          <w:tcPr>
            <w:tcW w:type="dxa" w:w="3408"/>
          </w:tcPr>
          <w:p>
            <w:pPr>
              <w:spacing w:after="40"/>
            </w:pPr>
            <w:r>
              <w:rPr>
                <w:sz w:val="18"/>
              </w:rPr>
            </w:r>
            <w:r>
              <w:rPr>
                <w:b w:val="0"/>
                <w:i w:val="0"/>
                <w:sz w:val="18"/>
              </w:rPr>
              <w:t>Recording: group B screening is “usually a very rapid strep test for antibody detection” [28:56]</w:t>
            </w:r>
          </w:p>
        </w:tc>
        <w:tc>
          <w:tcPr>
            <w:tcW w:type="dxa" w:w="3408"/>
          </w:tcPr>
          <w:p>
            <w:pPr>
              <w:spacing w:after="40"/>
            </w:pPr>
            <w:r>
              <w:rPr>
                <w:sz w:val="18"/>
              </w:rPr>
            </w:r>
            <w:r>
              <w:rPr>
                <w:b w:val="0"/>
                <w:i w:val="0"/>
                <w:sz w:val="18"/>
              </w:rPr>
              <w:t xml:space="preserve">Screening late in pregnancy is by vaginal-rectal swab </w:t>
            </w:r>
            <w:r>
              <w:rPr>
                <w:b/>
                <w:i w:val="0"/>
                <w:sz w:val="18"/>
              </w:rPr>
              <w:t>culture</w:t>
            </w:r>
            <w:r>
              <w:rPr>
                <w:b w:val="0"/>
                <w:i w:val="0"/>
                <w:sz w:val="18"/>
              </w:rPr>
              <w:t xml:space="preserve"> (or a nucleic acid test), not antibody detection</w:t>
            </w:r>
          </w:p>
        </w:tc>
        <w:tc>
          <w:tcPr>
            <w:tcW w:type="dxa" w:w="3408"/>
          </w:tcPr>
          <w:p>
            <w:pPr>
              <w:spacing w:after="40"/>
            </w:pPr>
            <w:r>
              <w:rPr>
                <w:sz w:val="18"/>
              </w:rPr>
            </w:r>
            <w:r>
              <w:rPr>
                <w:b w:val="0"/>
                <w:i w:val="0"/>
                <w:sz w:val="18"/>
              </w:rPr>
              <w:t>Keyed as the slide states it: screen and treat</w:t>
            </w:r>
          </w:p>
        </w:tc>
      </w:tr>
      <w:tr>
        <w:tc>
          <w:tcPr>
            <w:tcW w:type="dxa" w:w="3408"/>
          </w:tcPr>
          <w:p>
            <w:pPr>
              <w:spacing w:after="40"/>
            </w:pPr>
            <w:r>
              <w:rPr>
                <w:sz w:val="18"/>
              </w:rPr>
            </w:r>
            <w:r>
              <w:rPr>
                <w:b w:val="0"/>
                <w:i w:val="0"/>
                <w:sz w:val="18"/>
              </w:rPr>
              <w:t>Recording: the lower panel of slide 41 is “a coagulase test” [31:11]</w:t>
            </w:r>
          </w:p>
        </w:tc>
        <w:tc>
          <w:tcPr>
            <w:tcW w:type="dxa" w:w="3408"/>
          </w:tcPr>
          <w:p>
            <w:pPr>
              <w:spacing w:after="40"/>
            </w:pPr>
            <w:r>
              <w:rPr>
                <w:sz w:val="18"/>
              </w:rPr>
            </w:r>
            <w:r>
              <w:rPr>
                <w:b w:val="0"/>
                <w:i w:val="0"/>
                <w:sz w:val="18"/>
              </w:rPr>
              <w:t>The slide is titled Streptococcal ID tests and shows a slide agglutination reaction (positive = clumping), consistent with slide 40’s rapid antibody test; coagulase is a staphylococcal test</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Recording: the facial infection of slide 34 has “the slapped face look” [26:23]</w:t>
            </w:r>
          </w:p>
        </w:tc>
        <w:tc>
          <w:tcPr>
            <w:tcW w:type="dxa" w:w="3408"/>
          </w:tcPr>
          <w:p>
            <w:pPr>
              <w:spacing w:after="40"/>
            </w:pPr>
            <w:r>
              <w:rPr>
                <w:sz w:val="18"/>
              </w:rPr>
            </w:r>
            <w:r>
              <w:rPr>
                <w:b w:val="0"/>
                <w:i w:val="0"/>
                <w:sz w:val="18"/>
              </w:rPr>
              <w:t>“Slapped cheek” is the rash of erythema infectiosum (parvovirus B19), not a streptococcal infection; the slide shows impetigo and erysipelas</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Slide 71: “combined antibiotic therapies are often indicated” for gonorrhea</w:t>
            </w:r>
          </w:p>
        </w:tc>
        <w:tc>
          <w:tcPr>
            <w:tcW w:type="dxa" w:w="3408"/>
          </w:tcPr>
          <w:p>
            <w:pPr>
              <w:spacing w:after="40"/>
            </w:pPr>
            <w:r>
              <w:rPr>
                <w:sz w:val="18"/>
              </w:rPr>
            </w:r>
            <w:r>
              <w:rPr>
                <w:b w:val="0"/>
                <w:i w:val="0"/>
                <w:sz w:val="18"/>
              </w:rPr>
              <w:t>Current United States guidance is a single cephalosporin (ceftriaxone), adding doxycycline only when chlamydia has not been excluded</w:t>
            </w:r>
          </w:p>
        </w:tc>
        <w:tc>
          <w:tcPr>
            <w:tcW w:type="dxa" w:w="3408"/>
          </w:tcPr>
          <w:p>
            <w:pPr>
              <w:spacing w:after="40"/>
            </w:pPr>
            <w:r>
              <w:rPr>
                <w:sz w:val="18"/>
              </w:rPr>
            </w:r>
            <w:r>
              <w:rPr>
                <w:b w:val="0"/>
                <w:i w:val="0"/>
                <w:sz w:val="18"/>
              </w:rPr>
              <w:t>Not keyed</w:t>
            </w:r>
          </w:p>
        </w:tc>
      </w:tr>
      <w:tr>
        <w:tc>
          <w:tcPr>
            <w:tcW w:type="dxa" w:w="3408"/>
          </w:tcPr>
          <w:p>
            <w:pPr>
              <w:spacing w:after="40"/>
            </w:pPr>
            <w:r>
              <w:rPr>
                <w:sz w:val="18"/>
              </w:rPr>
            </w:r>
            <w:r>
              <w:rPr>
                <w:b w:val="0"/>
                <w:i w:val="0"/>
                <w:sz w:val="18"/>
              </w:rPr>
              <w:t xml:space="preserve">Slide 78 and the recording (“pretty rare”): </w:t>
            </w:r>
            <w:r>
              <w:rPr>
                <w:b w:val="0"/>
                <w:i/>
                <w:sz w:val="18"/>
              </w:rPr>
              <w:t>Moraxella</w:t>
            </w:r>
            <w:r>
              <w:rPr>
                <w:b w:val="0"/>
                <w:i w:val="0"/>
                <w:sz w:val="18"/>
              </w:rPr>
              <w:t xml:space="preserve"> as an opportunist</w:t>
            </w:r>
          </w:p>
        </w:tc>
        <w:tc>
          <w:tcPr>
            <w:tcW w:type="dxa" w:w="3408"/>
          </w:tcPr>
          <w:p>
            <w:pPr>
              <w:spacing w:after="40"/>
            </w:pPr>
            <w:r>
              <w:rPr>
                <w:sz w:val="18"/>
              </w:rPr>
            </w:r>
            <w:r>
              <w:rPr>
                <w:b w:val="0"/>
                <w:i w:val="0"/>
                <w:sz w:val="18"/>
              </w:rPr>
              <w:t>Also a common cause of childhood otitis media — one of the three classic bacterial causes</w:t>
            </w:r>
          </w:p>
        </w:tc>
        <w:tc>
          <w:tcPr>
            <w:tcW w:type="dxa" w:w="3408"/>
          </w:tcPr>
          <w:p>
            <w:pPr>
              <w:spacing w:after="40"/>
            </w:pPr>
            <w:r>
              <w:rPr>
                <w:sz w:val="18"/>
              </w:rPr>
            </w:r>
            <w:r>
              <w:rPr>
                <w:b w:val="0"/>
                <w:i w:val="0"/>
                <w:sz w:val="18"/>
              </w:rPr>
              <w:t>Keyed as the slide’s opportunist in cancer, diabetic and alcoholic patients; no question calls it rare</w:t>
            </w:r>
          </w:p>
        </w:tc>
      </w:tr>
      <w:tr>
        <w:tc>
          <w:tcPr>
            <w:tcW w:type="dxa" w:w="3408"/>
          </w:tcPr>
          <w:p>
            <w:pPr>
              <w:spacing w:after="40"/>
            </w:pPr>
            <w:r>
              <w:rPr>
                <w:sz w:val="18"/>
              </w:rPr>
            </w:r>
            <w:r>
              <w:rPr>
                <w:b w:val="0"/>
                <w:i w:val="0"/>
                <w:sz w:val="18"/>
              </w:rPr>
              <w:t>Slides 23, 48, 50, 73: 17 Lancefield groups; 60–70% of bacterial pneumonia; 90 capsular types; serotypes A, B and C cause most meningococcal disease</w:t>
            </w:r>
          </w:p>
        </w:tc>
        <w:tc>
          <w:tcPr>
            <w:tcW w:type="dxa" w:w="3408"/>
          </w:tcPr>
          <w:p>
            <w:pPr>
              <w:spacing w:after="40"/>
            </w:pPr>
            <w:r>
              <w:rPr>
                <w:sz w:val="18"/>
              </w:rPr>
            </w:r>
            <w:r>
              <w:rPr>
                <w:b w:val="0"/>
                <w:i w:val="0"/>
                <w:sz w:val="18"/>
              </w:rPr>
              <w:t>About 20 Lancefield groups; the pneumococcus is the leading identified bacterial cause of pneumonia but at a much lower share; more than 100 capsular types; serogroups A, B, C, W, X and Y cause nearly all meningococcal disease</w:t>
            </w:r>
          </w:p>
        </w:tc>
        <w:tc>
          <w:tcPr>
            <w:tcW w:type="dxa" w:w="3408"/>
          </w:tcPr>
          <w:p>
            <w:pPr>
              <w:spacing w:after="40"/>
            </w:pPr>
            <w:r>
              <w:rPr>
                <w:sz w:val="18"/>
              </w:rPr>
            </w:r>
            <w:r>
              <w:rPr>
                <w:b w:val="0"/>
                <w:i w:val="0"/>
                <w:sz w:val="18"/>
              </w:rPr>
              <w:t>None of these numbers is asked</w:t>
            </w:r>
          </w:p>
        </w:tc>
      </w:tr>
      <w:tr>
        <w:tc>
          <w:tcPr>
            <w:tcW w:type="dxa" w:w="3408"/>
          </w:tcPr>
          <w:p>
            <w:pPr>
              <w:spacing w:after="40"/>
            </w:pPr>
            <w:r>
              <w:rPr>
                <w:sz w:val="18"/>
              </w:rPr>
            </w:r>
            <w:r>
              <w:rPr>
                <w:b w:val="0"/>
                <w:i w:val="0"/>
                <w:sz w:val="18"/>
              </w:rPr>
              <w:t xml:space="preserve">Slide 79: </w:t>
            </w:r>
            <w:r>
              <w:rPr>
                <w:b w:val="0"/>
                <w:i/>
                <w:sz w:val="18"/>
              </w:rPr>
              <w:t>Acinetobacter baumannii</w:t>
            </w:r>
            <w:r>
              <w:rPr>
                <w:b w:val="0"/>
                <w:i w:val="0"/>
                <w:sz w:val="18"/>
              </w:rPr>
              <w:t xml:space="preserve"> coccobacilli “found in many arid soil environments (such as Iraq and Afghanistan)”</w:t>
            </w:r>
          </w:p>
        </w:tc>
        <w:tc>
          <w:tcPr>
            <w:tcW w:type="dxa" w:w="3408"/>
          </w:tcPr>
          <w:p>
            <w:pPr>
              <w:spacing w:after="40"/>
            </w:pPr>
            <w:r>
              <w:rPr>
                <w:sz w:val="18"/>
              </w:rPr>
            </w:r>
            <w:r>
              <w:rPr>
                <w:b w:val="0"/>
                <w:i w:val="0"/>
                <w:sz w:val="18"/>
              </w:rPr>
              <w:t xml:space="preserve">The </w:t>
            </w:r>
            <w:r>
              <w:rPr>
                <w:b w:val="0"/>
                <w:i/>
                <w:sz w:val="18"/>
              </w:rPr>
              <w:t>genus</w:t>
            </w:r>
            <w:r>
              <w:rPr>
                <w:b w:val="0"/>
                <w:i w:val="0"/>
                <w:sz w:val="18"/>
              </w:rPr>
              <w:t xml:space="preserve"> </w:t>
            </w:r>
            <w:r>
              <w:rPr>
                <w:b w:val="0"/>
                <w:i/>
                <w:sz w:val="18"/>
              </w:rPr>
              <w:t>Acinetobacter</w:t>
            </w:r>
            <w:r>
              <w:rPr>
                <w:b w:val="0"/>
                <w:i w:val="0"/>
                <w:sz w:val="18"/>
              </w:rPr>
              <w:t xml:space="preserve"> is common in soil and water, but </w:t>
            </w:r>
            <w:r>
              <w:rPr>
                <w:b w:val="0"/>
                <w:i/>
                <w:sz w:val="18"/>
              </w:rPr>
              <w:t>Acinetobacter baumannii</w:t>
            </w:r>
            <w:r>
              <w:rPr>
                <w:b w:val="0"/>
                <w:i w:val="0"/>
                <w:sz w:val="18"/>
              </w:rPr>
              <w:t xml:space="preserve"> itself is rarely isolated from soil; the infections in service members wounded in Iraq and Afghanistan were traced to transmission inside military hospitals, not to the soil</w:t>
            </w:r>
          </w:p>
        </w:tc>
        <w:tc>
          <w:tcPr>
            <w:tcW w:type="dxa" w:w="3408"/>
          </w:tcPr>
          <w:p>
            <w:pPr>
              <w:spacing w:after="40"/>
            </w:pPr>
            <w:r>
              <w:rPr>
                <w:sz w:val="18"/>
              </w:rPr>
            </w:r>
            <w:r>
              <w:rPr>
                <w:b w:val="0"/>
                <w:i w:val="0"/>
                <w:sz w:val="18"/>
              </w:rPr>
              <w:t>The environment question was dropped. Keyed facts: multidrug-resistant coccobacilli, hospital acquired, especially in military hospitals</w:t>
            </w:r>
          </w:p>
        </w:tc>
      </w:tr>
      <w:tr>
        <w:tc>
          <w:tcPr>
            <w:tcW w:type="dxa" w:w="3408"/>
          </w:tcPr>
          <w:p>
            <w:pPr>
              <w:spacing w:after="40"/>
            </w:pPr>
            <w:r>
              <w:rPr>
                <w:sz w:val="18"/>
              </w:rPr>
            </w:r>
            <w:r>
              <w:rPr>
                <w:b w:val="0"/>
                <w:i w:val="0"/>
                <w:sz w:val="18"/>
              </w:rPr>
              <w:t>Slide 74: high-risk ages 6 months–3 years and 10–20 years</w:t>
            </w:r>
          </w:p>
        </w:tc>
        <w:tc>
          <w:tcPr>
            <w:tcW w:type="dxa" w:w="3408"/>
          </w:tcPr>
          <w:p>
            <w:pPr>
              <w:spacing w:after="40"/>
            </w:pPr>
            <w:r>
              <w:rPr>
                <w:sz w:val="18"/>
              </w:rPr>
            </w:r>
            <w:r>
              <w:rPr>
                <w:b w:val="0"/>
                <w:i w:val="0"/>
                <w:sz w:val="18"/>
              </w:rPr>
              <w:t>Close to current figures, which put the peaks in infants under 1 year and in adolescents and young adults (about 16–23)</w:t>
            </w:r>
          </w:p>
        </w:tc>
        <w:tc>
          <w:tcPr>
            <w:tcW w:type="dxa" w:w="3408"/>
          </w:tcPr>
          <w:p>
            <w:pPr>
              <w:spacing w:after="40"/>
            </w:pPr>
            <w:r>
              <w:rPr>
                <w:sz w:val="18"/>
              </w:rPr>
            </w:r>
            <w:r>
              <w:rPr>
                <w:b w:val="0"/>
                <w:i w:val="0"/>
                <w:sz w:val="18"/>
              </w:rPr>
              <w:t>Keyed as the slide states it; no option competes with it</w:t>
            </w:r>
          </w:p>
        </w:tc>
      </w:tr>
      <w:tr>
        <w:tc>
          <w:tcPr>
            <w:tcW w:type="dxa" w:w="3408"/>
          </w:tcPr>
          <w:p>
            <w:pPr>
              <w:spacing w:after="40"/>
            </w:pPr>
            <w:r>
              <w:rPr>
                <w:sz w:val="18"/>
              </w:rPr>
            </w:r>
            <w:r>
              <w:rPr>
                <w:b w:val="0"/>
                <w:i w:val="0"/>
                <w:sz w:val="18"/>
              </w:rPr>
              <w:t>Slide 77: the vaccine contains purified capsular antigens</w:t>
            </w:r>
          </w:p>
        </w:tc>
        <w:tc>
          <w:tcPr>
            <w:tcW w:type="dxa" w:w="3408"/>
          </w:tcPr>
          <w:p>
            <w:pPr>
              <w:spacing w:after="40"/>
            </w:pPr>
            <w:r>
              <w:rPr>
                <w:sz w:val="18"/>
              </w:rPr>
            </w:r>
            <w:r>
              <w:rPr>
                <w:b w:val="0"/>
                <w:i w:val="0"/>
                <w:sz w:val="18"/>
              </w:rPr>
              <w:t>True of the quadrivalent (A, C, W, Y) vaccines; the serogroup B vaccines are built on surface proteins instead, because the group B capsule is poorly immunogenic</w:t>
            </w:r>
          </w:p>
        </w:tc>
        <w:tc>
          <w:tcPr>
            <w:tcW w:type="dxa" w:w="3408"/>
          </w:tcPr>
          <w:p>
            <w:pPr>
              <w:spacing w:after="40"/>
            </w:pPr>
            <w:r>
              <w:rPr>
                <w:sz w:val="18"/>
              </w:rPr>
            </w:r>
            <w:r>
              <w:rPr>
                <w:b w:val="0"/>
                <w:i w:val="0"/>
                <w:sz w:val="18"/>
              </w:rPr>
              <w:t>Keyed as the slide states it: purified capsular antigens</w:t>
            </w:r>
          </w:p>
        </w:tc>
      </w:tr>
      <w:tr>
        <w:tc>
          <w:tcPr>
            <w:tcW w:type="dxa" w:w="3408"/>
          </w:tcPr>
          <w:p>
            <w:pPr>
              <w:spacing w:after="40"/>
            </w:pPr>
            <w:r>
              <w:rPr>
                <w:sz w:val="18"/>
              </w:rPr>
            </w:r>
            <w:r>
              <w:rPr>
                <w:b w:val="0"/>
                <w:i w:val="0"/>
                <w:sz w:val="18"/>
              </w:rPr>
              <w:t>Slide 7: penicillinase, and “another enzyme called beta-lactamase which behaves similarly”</w:t>
            </w:r>
          </w:p>
        </w:tc>
        <w:tc>
          <w:tcPr>
            <w:tcW w:type="dxa" w:w="3408"/>
          </w:tcPr>
          <w:p>
            <w:pPr>
              <w:spacing w:after="40"/>
            </w:pPr>
            <w:r>
              <w:rPr>
                <w:sz w:val="18"/>
              </w:rPr>
            </w:r>
            <w:r>
              <w:rPr>
                <w:b w:val="0"/>
                <w:i w:val="0"/>
                <w:sz w:val="18"/>
              </w:rPr>
              <w:t>Penicillinase is a beta-lactamase</w:t>
            </w:r>
          </w:p>
        </w:tc>
        <w:tc>
          <w:tcPr>
            <w:tcW w:type="dxa" w:w="3408"/>
          </w:tcPr>
          <w:p>
            <w:pPr>
              <w:spacing w:after="40"/>
            </w:pPr>
            <w:r>
              <w:rPr>
                <w:sz w:val="18"/>
              </w:rPr>
            </w:r>
            <w:r>
              <w:rPr>
                <w:b w:val="0"/>
                <w:i w:val="0"/>
                <w:sz w:val="18"/>
              </w:rPr>
              <w:t>No question sets the two apart</w:t>
            </w:r>
          </w:p>
        </w:tc>
      </w:tr>
    </w:tbl>
    <w:p>
      <w:pPr>
        <w:spacing w:after="80"/>
      </w:pPr>
    </w:p>
    <w:p>
      <w:pPr>
        <w:spacing w:after="120"/>
      </w:pPr>
      <w:r>
        <w:rPr>
          <w:b w:val="0"/>
          <w:i w:val="0"/>
        </w:rPr>
        <w:t xml:space="preserve">Source: </w:t>
      </w:r>
      <w:r>
        <w:rPr>
          <w:b w:val="0"/>
          <w:i/>
        </w:rPr>
        <w:t>Cocci of Medical Importance: Gram positive and Gram negative</w:t>
      </w:r>
      <w:r>
        <w:rPr>
          <w:b w:val="0"/>
          <w:i w:val="0"/>
        </w:rPr>
        <w:t xml:space="preserve"> (PAJ5200.Cocci of Med importance.pptx), Slides 1–79, the lecture recording of 2 October 2026, and the PAJ 5200 syllabus instructional objectives and Appendix 2.</w:t>
      </w:r>
    </w:p>
    <w:p>
      <w:pPr>
        <w:pStyle w:val="Heading1"/>
        <w:spacing w:before="280" w:after="100"/>
      </w:pPr>
      <w:r>
        <w:rPr>
          <w:rFonts w:ascii="Georgia" w:hAnsi="Georgia"/>
          <w:color w:val="1F4D2B"/>
        </w:rPr>
        <w:t>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questions sort the whole lecture.</w:t>
            </w:r>
            <w:r>
              <w:rPr>
                <w:b w:val="0"/>
                <w:i w:val="0"/>
              </w:rPr>
              <w:t xml:space="preserve"> First: </w:t>
            </w:r>
            <w:r>
              <w:rPr>
                <w:b w:val="0"/>
                <w:i/>
              </w:rPr>
              <w:t>does it form endospores?</w:t>
            </w:r>
            <w:r>
              <w:rPr>
                <w:b w:val="0"/>
                <w:i w:val="0"/>
              </w:rPr>
              <w:t xml:space="preserve"> If yes, it is </w:t>
            </w:r>
            <w:r>
              <w:rPr>
                <w:b w:val="0"/>
                <w:i/>
              </w:rPr>
              <w:t>Bacillus</w:t>
            </w:r>
            <w:r>
              <w:rPr>
                <w:b w:val="0"/>
                <w:i w:val="0"/>
              </w:rPr>
              <w:t xml:space="preserve"> (aerobic, catalase positive, </w:t>
            </w:r>
            <w:r>
              <w:rPr>
                <w:b/>
                <w:i w:val="0"/>
              </w:rPr>
              <w:t>central</w:t>
            </w:r>
            <w:r>
              <w:rPr>
                <w:b w:val="0"/>
                <w:i w:val="0"/>
              </w:rPr>
              <w:t xml:space="preserve"> spore) or </w:t>
            </w:r>
            <w:r>
              <w:rPr>
                <w:b w:val="0"/>
                <w:i/>
              </w:rPr>
              <w:t>Clostridium</w:t>
            </w:r>
            <w:r>
              <w:rPr>
                <w:b w:val="0"/>
                <w:i w:val="0"/>
              </w:rPr>
              <w:t xml:space="preserve"> (anaerobic, catalase negative, </w:t>
            </w:r>
            <w:r>
              <w:rPr>
                <w:b/>
                <w:i w:val="0"/>
              </w:rPr>
              <w:t>terminal</w:t>
            </w:r>
            <w:r>
              <w:rPr>
                <w:b w:val="0"/>
                <w:i w:val="0"/>
              </w:rPr>
              <w:t xml:space="preserve"> spore). Second, for the non-spore-formers: </w:t>
            </w:r>
            <w:r>
              <w:rPr>
                <w:b w:val="0"/>
                <w:i/>
              </w:rPr>
              <w:t>regular or irregular?</w:t>
            </w:r>
            <w:r>
              <w:rPr>
                <w:b w:val="0"/>
                <w:i w:val="0"/>
              </w:rPr>
              <w:t xml:space="preserve"> Regular rods stain uniformly and keep one shape (</w:t>
            </w:r>
            <w:r>
              <w:rPr>
                <w:b w:val="0"/>
                <w:i/>
              </w:rPr>
              <w:t>Lactobacillus</w:t>
            </w:r>
            <w:r>
              <w:rPr>
                <w:b w:val="0"/>
                <w:i w:val="0"/>
              </w:rPr>
              <w:t xml:space="preserve">, </w:t>
            </w:r>
            <w:r>
              <w:rPr>
                <w:b w:val="0"/>
                <w:i/>
              </w:rPr>
              <w:t>Listeria</w:t>
            </w:r>
            <w:r>
              <w:rPr>
                <w:b w:val="0"/>
                <w:i w:val="0"/>
              </w:rPr>
              <w:t xml:space="preserve">, </w:t>
            </w:r>
            <w:r>
              <w:rPr>
                <w:b w:val="0"/>
                <w:i/>
              </w:rPr>
              <w:t>Erysipelothrix</w:t>
            </w:r>
            <w:r>
              <w:rPr>
                <w:b w:val="0"/>
                <w:i w:val="0"/>
              </w:rPr>
              <w:t>); irregular rods are pleomorphic and stain unevenly (</w:t>
            </w:r>
            <w:r>
              <w:rPr>
                <w:b w:val="0"/>
                <w:i/>
              </w:rPr>
              <w:t>Corynebacterium</w:t>
            </w:r>
            <w:r>
              <w:rPr>
                <w:b w:val="0"/>
                <w:i w:val="0"/>
              </w:rPr>
              <w:t xml:space="preserve">, </w:t>
            </w:r>
            <w:r>
              <w:rPr>
                <w:b w:val="0"/>
                <w:i/>
              </w:rPr>
              <w:t>Cutibacterium</w:t>
            </w:r>
            <w:r>
              <w:rPr>
                <w:b w:val="0"/>
                <w:i w:val="0"/>
              </w:rPr>
              <w:t xml:space="preserve">, the acid-fast </w:t>
            </w:r>
            <w:r>
              <w:rPr>
                <w:b w:val="0"/>
                <w:i/>
              </w:rPr>
              <w:t>Mycobacterium</w:t>
            </w:r>
            <w:r>
              <w:rPr>
                <w:b w:val="0"/>
                <w:i w:val="0"/>
              </w:rPr>
              <w:t xml:space="preserve">, and the filamentous </w:t>
            </w:r>
            <w:r>
              <w:rPr>
                <w:b w:val="0"/>
                <w:i/>
              </w:rPr>
              <w:t>Actinomyces</w:t>
            </w:r>
            <w:r>
              <w:rPr>
                <w:b w:val="0"/>
                <w:i w:val="0"/>
              </w:rPr>
              <w:t xml:space="preserve"> and </w:t>
            </w:r>
            <w:r>
              <w:rPr>
                <w:b w:val="0"/>
                <w:i/>
              </w:rPr>
              <w:t>Nocardia</w:t>
            </w:r>
            <w:r>
              <w:rPr>
                <w:b w:val="0"/>
                <w:i w:val="0"/>
              </w:rPr>
              <w:t xml:space="preserve">). The syllabus points to its Appendix 2 organism list for this lecture (slide 3 reproduces it, with </w:t>
            </w:r>
            <w:r>
              <w:rPr>
                <w:b w:val="0"/>
                <w:i/>
              </w:rPr>
              <w:t>Cutibacterium</w:t>
            </w:r>
            <w:r>
              <w:rPr>
                <w:b w:val="0"/>
                <w:i w:val="0"/>
              </w:rPr>
              <w:t xml:space="preserve"> and </w:t>
            </w:r>
            <w:r>
              <w:rPr>
                <w:b w:val="0"/>
                <w:i/>
              </w:rPr>
              <w:t>Mycobacterium leprae</w:t>
            </w:r>
            <w:r>
              <w:rPr>
                <w:b w:val="0"/>
                <w:i w:val="0"/>
              </w:rPr>
              <w:t xml:space="preserve"> added). Objective 1 is answered organism by organism in 10.1–10.13, each against the objective’s own headings; objective 2 is drawn together in 10.14.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About 90 minutes with Dr. Webster, in two parts (46 and 44 minutes). </w:t>
            </w:r>
            <w:r>
              <w:rPr>
                <w:b/>
                <w:i w:val="0"/>
              </w:rPr>
              <w:t>Both transcripts read and compared</w:t>
            </w:r>
            <w:r>
              <w:rPr>
                <w:b w:val="0"/>
                <w:i w:val="0"/>
              </w:rPr>
              <w:t xml:space="preserve"> (Notability’s own and an independent local transcription); every quote below appears in both unless marked. The recording begins at slide 6, so the title, objective, organism-list and scheme slides (1–5) have no audio. Unlike her Exam 1 lectures, </w:t>
            </w:r>
            <w:r>
              <w:rPr>
                <w:b/>
                <w:i w:val="0"/>
              </w:rPr>
              <w:t>this one signposts often</w:t>
            </w:r>
            <w:r>
              <w:rPr>
                <w:b w:val="0"/>
                <w:i w:val="0"/>
              </w:rPr>
              <w:t xml:space="preserve"> — and it states two rules that cut the scope of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“By the way </w:t>
                  </w:r>
                  <w:r>
                    <w:rPr>
                      <w:b w:val="0"/>
                      <w:i/>
                      <w:sz w:val="18"/>
                      <w:highlight w:val="yellow"/>
                    </w:rPr>
                    <w:t>I’m not going to be testing you on the percentages</w:t>
                  </w:r>
                  <w:r>
                    <w:rPr>
                      <w:b w:val="0"/>
                      <w:i/>
                      <w:sz w:val="18"/>
                    </w:rPr>
                    <w:t>. But you do need to know what is the most common, what’s the deadliest, how the different things work.”</w:t>
                  </w:r>
                  <w:r>
                    <w:rPr>
                      <w:b w:val="0"/>
                      <w:i w:val="0"/>
                      <w:sz w:val="18"/>
                    </w:rPr>
                    <w:t xml:space="preserve"> [part 1, 12:34]</w:t>
                  </w:r>
                </w:p>
              </w:tc>
              <w:tc>
                <w:tcPr>
                  <w:tcW w:type="dxa" w:w="5112"/>
                </w:tcPr>
                <w:p>
                  <w:pPr>
                    <w:spacing w:after="40"/>
                  </w:pPr>
                  <w:r>
                    <w:rPr>
                      <w:sz w:val="18"/>
                    </w:rPr>
                  </w:r>
                  <w:r>
                    <w:rPr>
                      <w:b w:val="0"/>
                      <w:i w:val="0"/>
                      <w:sz w:val="18"/>
                    </w:rPr>
                    <w:t xml:space="preserve">Mortality rates, case counts and outbreak years are context, not exam material. What </w:t>
                  </w:r>
                  <w:r>
                    <w:rPr>
                      <w:b w:val="0"/>
                      <w:i/>
                      <w:sz w:val="18"/>
                    </w:rPr>
                    <w:t>is</w:t>
                  </w:r>
                  <w:r>
                    <w:rPr>
                      <w:b w:val="0"/>
                      <w:i w:val="0"/>
                      <w:sz w:val="18"/>
                    </w:rPr>
                    <w:t xml:space="preserve"> examinable: the most common form, the deadliest form, and the mechanism.</w:t>
                  </w:r>
                </w:p>
              </w:tc>
            </w:tr>
            <w:tr>
              <w:tc>
                <w:tcPr>
                  <w:tcW w:type="dxa" w:w="5112"/>
                </w:tcPr>
                <w:p>
                  <w:pPr>
                    <w:spacing w:after="40"/>
                  </w:pPr>
                  <w:r>
                    <w:rPr>
                      <w:sz w:val="18"/>
                    </w:rPr>
                  </w:r>
                  <w:r>
                    <w:rPr>
                      <w:b w:val="0"/>
                      <w:i/>
                      <w:sz w:val="18"/>
                    </w:rPr>
                    <w:t xml:space="preserve">“By the way, </w:t>
                  </w:r>
                  <w:r>
                    <w:rPr>
                      <w:b w:val="0"/>
                      <w:i/>
                      <w:sz w:val="18"/>
                      <w:highlight w:val="yellow"/>
                    </w:rPr>
                    <w:t>I’m not going to be asking you what antibiotics to use</w:t>
                  </w:r>
                  <w:r>
                    <w:rPr>
                      <w:b w:val="0"/>
                      <w:i/>
                      <w:sz w:val="18"/>
                    </w:rPr>
                    <w:t xml:space="preserve"> to treat these things because that’s what we have our PDRs [Physicians’ Desk References] for.”</w:t>
                  </w:r>
                  <w:r>
                    <w:rPr>
                      <w:b w:val="0"/>
                      <w:i w:val="0"/>
                      <w:sz w:val="18"/>
                    </w:rPr>
                    <w:t xml:space="preserve"> [part 2, 8:03]</w:t>
                  </w:r>
                </w:p>
              </w:tc>
              <w:tc>
                <w:tcPr>
                  <w:tcW w:type="dxa" w:w="5112"/>
                </w:tcPr>
                <w:p>
                  <w:pPr>
                    <w:spacing w:after="40"/>
                  </w:pPr>
                  <w:r>
                    <w:rPr>
                      <w:sz w:val="18"/>
                    </w:rPr>
                  </w:r>
                  <w:r>
                    <w:rPr>
                      <w:b w:val="0"/>
                      <w:i w:val="0"/>
                      <w:sz w:val="18"/>
                    </w:rPr>
                    <w:t>The drug names on the treatment slides are not examinable. The other treatment methods are: antitoxin, debridement, hyperbaric oxygen, ventilator support, fecal microbiota transplant, hardware removal, treatment length, and the vaccines.</w:t>
                  </w:r>
                </w:p>
              </w:tc>
            </w:tr>
            <w:tr>
              <w:tc>
                <w:tcPr>
                  <w:tcW w:type="dxa" w:w="5112"/>
                </w:tcPr>
                <w:p>
                  <w:pPr>
                    <w:spacing w:after="40"/>
                  </w:pPr>
                  <w:r>
                    <w:rPr>
                      <w:sz w:val="18"/>
                    </w:rPr>
                  </w:r>
                  <w:r>
                    <w:rPr>
                      <w:b w:val="0"/>
                      <w:i/>
                      <w:sz w:val="18"/>
                    </w:rPr>
                    <w:t>“You need to know the different forms and what they do. So most cases of anthrax are cutaneous…”</w:t>
                  </w:r>
                  <w:r>
                    <w:rPr>
                      <w:b w:val="0"/>
                      <w:i w:val="0"/>
                      <w:sz w:val="18"/>
                    </w:rPr>
                    <w:t xml:space="preserve"> [part 1, 8:49] and of pulmonary anthrax: </w:t>
                  </w:r>
                  <w:r>
                    <w:rPr>
                      <w:b w:val="0"/>
                      <w:i/>
                      <w:sz w:val="18"/>
                    </w:rPr>
                    <w:t xml:space="preserve">“this is </w:t>
                  </w:r>
                  <w:r>
                    <w:rPr>
                      <w:b w:val="0"/>
                      <w:i/>
                      <w:sz w:val="18"/>
                      <w:highlight w:val="yellow"/>
                    </w:rPr>
                    <w:t>the most deadly form of anthrax. You need to know that</w:t>
                  </w:r>
                  <w:r>
                    <w:rPr>
                      <w:b w:val="0"/>
                      <w:i/>
                      <w:sz w:val="18"/>
                    </w:rPr>
                    <w:t>.”</w:t>
                  </w:r>
                  <w:r>
                    <w:rPr>
                      <w:b w:val="0"/>
                      <w:i w:val="0"/>
                      <w:sz w:val="18"/>
                    </w:rPr>
                    <w:t xml:space="preserve"> [part 1, 11:41]</w:t>
                  </w:r>
                </w:p>
              </w:tc>
              <w:tc>
                <w:tcPr>
                  <w:tcW w:type="dxa" w:w="5112"/>
                </w:tcPr>
                <w:p>
                  <w:pPr>
                    <w:spacing w:after="40"/>
                  </w:pPr>
                  <w:r>
                    <w:rPr>
                      <w:sz w:val="18"/>
                    </w:rPr>
                  </w:r>
                  <w:r>
                    <w:rPr>
                      <w:b w:val="0"/>
                      <w:i w:val="0"/>
                      <w:sz w:val="18"/>
                    </w:rPr>
                    <w:t>Cutaneous = most common; pulmonary (woolsorters’ disease) = most deadly (10.2).</w:t>
                  </w:r>
                </w:p>
              </w:tc>
            </w:tr>
            <w:tr>
              <w:tc>
                <w:tcPr>
                  <w:tcW w:type="dxa" w:w="5112"/>
                </w:tcPr>
                <w:p>
                  <w:pPr>
                    <w:spacing w:after="40"/>
                  </w:pPr>
                  <w:r>
                    <w:rPr>
                      <w:sz w:val="18"/>
                    </w:rPr>
                  </w:r>
                  <w:r>
                    <w:rPr>
                      <w:b w:val="0"/>
                      <w:i/>
                      <w:sz w:val="18"/>
                    </w:rPr>
                    <w:t xml:space="preserve">“You do need to know that </w:t>
                  </w:r>
                  <w:r>
                    <w:rPr>
                      <w:b w:val="0"/>
                      <w:i/>
                      <w:sz w:val="18"/>
                      <w:highlight w:val="yellow"/>
                    </w:rPr>
                    <w:t>bacillus centrally located, Clostridium terminally located</w:t>
                  </w:r>
                  <w:r>
                    <w:rPr>
                      <w:b w:val="0"/>
                      <w:i/>
                      <w:sz w:val="18"/>
                    </w:rPr>
                    <w:t>.”</w:t>
                  </w:r>
                  <w:r>
                    <w:rPr>
                      <w:b w:val="0"/>
                      <w:i w:val="0"/>
                      <w:sz w:val="18"/>
                    </w:rPr>
                    <w:t xml:space="preserve"> [part 1, 21:16]</w:t>
                  </w:r>
                </w:p>
              </w:tc>
              <w:tc>
                <w:tcPr>
                  <w:tcW w:type="dxa" w:w="5112"/>
                </w:tcPr>
                <w:p>
                  <w:pPr>
                    <w:spacing w:after="40"/>
                  </w:pPr>
                  <w:r>
                    <w:rPr>
                      <w:sz w:val="18"/>
                    </w:rPr>
                  </w:r>
                  <w:r>
                    <w:rPr>
                      <w:b w:val="0"/>
                      <w:i w:val="0"/>
                      <w:sz w:val="18"/>
                    </w:rPr>
                    <w:t xml:space="preserve">Spore position is a diagnostic characteristic (10.1). The </w:t>
                  </w:r>
                  <w:r>
                    <w:rPr>
                      <w:b w:val="0"/>
                      <w:i/>
                      <w:sz w:val="18"/>
                    </w:rPr>
                    <w:t>Clostridioides difficile</w:t>
                  </w:r>
                  <w:r>
                    <w:rPr>
                      <w:b w:val="0"/>
                      <w:i w:val="0"/>
                      <w:sz w:val="18"/>
                    </w:rPr>
                    <w:t xml:space="preserve"> terminal spores “look like a little tennis racket” (Notability; the local transcript heard “tennis ball”). [part 1, 44:24]</w:t>
                  </w:r>
                </w:p>
              </w:tc>
            </w:tr>
            <w:tr>
              <w:tc>
                <w:tcPr>
                  <w:tcW w:type="dxa" w:w="5112"/>
                </w:tcPr>
                <w:p>
                  <w:pPr>
                    <w:spacing w:after="40"/>
                  </w:pPr>
                  <w:r>
                    <w:rPr>
                      <w:sz w:val="18"/>
                    </w:rPr>
                  </w:r>
                  <w:r>
                    <w:rPr>
                      <w:b w:val="0"/>
                      <w:i w:val="0"/>
                      <w:sz w:val="18"/>
                    </w:rPr>
                    <w:t xml:space="preserve">Gas gangrene: </w:t>
                  </w:r>
                  <w:r>
                    <w:rPr>
                      <w:b w:val="0"/>
                      <w:i/>
                      <w:sz w:val="18"/>
                    </w:rPr>
                    <w:t xml:space="preserve">“caused by Clostridium perfringens most commonly and </w:t>
                  </w:r>
                  <w:r>
                    <w:rPr>
                      <w:b w:val="0"/>
                      <w:i/>
                      <w:sz w:val="18"/>
                      <w:highlight w:val="yellow"/>
                    </w:rPr>
                    <w:t>that would be the one I would want you to know</w:t>
                  </w:r>
                  <w:r>
                    <w:rPr>
                      <w:b w:val="0"/>
                      <w:i/>
                      <w:sz w:val="18"/>
                    </w:rPr>
                    <w:t>.”</w:t>
                  </w:r>
                  <w:r>
                    <w:rPr>
                      <w:b w:val="0"/>
                      <w:i w:val="0"/>
                      <w:sz w:val="18"/>
                    </w:rPr>
                    <w:t xml:space="preserve"> [part 1, 20:48] Then </w:t>
                  </w:r>
                  <w:r>
                    <w:rPr>
                      <w:b w:val="0"/>
                      <w:i/>
                      <w:sz w:val="18"/>
                    </w:rPr>
                    <w:t>“you need a mixed infection. You need a mixed infection”</w:t>
                  </w:r>
                  <w:r>
                    <w:rPr>
                      <w:b w:val="0"/>
                      <w:i w:val="0"/>
                      <w:sz w:val="18"/>
                    </w:rPr>
                    <w:t xml:space="preserve"> [part 1, 22:16] — prefaced in the local transcript by “underline this”.</w:t>
                  </w:r>
                </w:p>
              </w:tc>
              <w:tc>
                <w:tcPr>
                  <w:tcW w:type="dxa" w:w="5112"/>
                </w:tcPr>
                <w:p>
                  <w:pPr>
                    <w:spacing w:after="40"/>
                  </w:pPr>
                  <w:r>
                    <w:rPr>
                      <w:sz w:val="18"/>
                    </w:rPr>
                  </w:r>
                  <w:r>
                    <w:rPr>
                      <w:b w:val="0"/>
                      <w:i w:val="0"/>
                      <w:sz w:val="18"/>
                    </w:rPr>
                    <w:t>The organism, and why a mixed infection matters: aerobes use up the oxygen so the anaerobic spores can grow (10.4).</w:t>
                  </w:r>
                </w:p>
              </w:tc>
            </w:tr>
            <w:tr>
              <w:tc>
                <w:tcPr>
                  <w:tcW w:type="dxa" w:w="5112"/>
                </w:tcPr>
                <w:p>
                  <w:pPr>
                    <w:spacing w:after="40"/>
                  </w:pPr>
                  <w:r>
                    <w:rPr>
                      <w:sz w:val="18"/>
                    </w:rPr>
                  </w:r>
                  <w:r>
                    <w:rPr>
                      <w:b w:val="0"/>
                      <w:i w:val="0"/>
                      <w:sz w:val="18"/>
                    </w:rPr>
                    <w:t xml:space="preserve">The myonecrosis toxins: </w:t>
                  </w:r>
                  <w:r>
                    <w:rPr>
                      <w:b w:val="0"/>
                      <w:i/>
                      <w:sz w:val="18"/>
                    </w:rPr>
                    <w:t xml:space="preserve">“at least 17 different ones and </w:t>
                  </w:r>
                  <w:r>
                    <w:rPr>
                      <w:b w:val="0"/>
                      <w:i/>
                      <w:sz w:val="18"/>
                      <w:highlight w:val="yellow"/>
                    </w:rPr>
                    <w:t>I’m not going to ask you to name them</w:t>
                  </w:r>
                  <w:r>
                    <w:rPr>
                      <w:b w:val="0"/>
                      <w:i/>
                      <w:sz w:val="18"/>
                    </w:rPr>
                    <w:t>, but look at the things they do.”</w:t>
                  </w:r>
                  <w:r>
                    <w:rPr>
                      <w:b w:val="0"/>
                      <w:i w:val="0"/>
                      <w:sz w:val="18"/>
                    </w:rPr>
                    <w:t xml:space="preserve"> [part 1, 24:39]</w:t>
                  </w:r>
                </w:p>
              </w:tc>
              <w:tc>
                <w:tcPr>
                  <w:tcW w:type="dxa" w:w="5112"/>
                </w:tcPr>
                <w:p>
                  <w:pPr>
                    <w:spacing w:after="40"/>
                  </w:pPr>
                  <w:r>
                    <w:rPr>
                      <w:sz w:val="18"/>
                    </w:rPr>
                  </w:r>
                  <w:r>
                    <w:rPr>
                      <w:b w:val="0"/>
                      <w:i w:val="0"/>
                      <w:sz w:val="18"/>
                    </w:rPr>
                    <w:t>Know the effects (red cells ruptured, white cells destroyed, connective tissue broken down by collagenase and hyaluronidase), not the toxin names.</w:t>
                  </w:r>
                </w:p>
              </w:tc>
            </w:tr>
            <w:tr>
              <w:tc>
                <w:tcPr>
                  <w:tcW w:type="dxa" w:w="5112"/>
                </w:tcPr>
                <w:p>
                  <w:pPr>
                    <w:spacing w:after="40"/>
                  </w:pPr>
                  <w:r>
                    <w:rPr>
                      <w:sz w:val="18"/>
                    </w:rPr>
                  </w:r>
                  <w:r>
                    <w:rPr>
                      <w:b w:val="0"/>
                      <w:i/>
                      <w:sz w:val="18"/>
                    </w:rPr>
                    <w:t xml:space="preserve">“So, but </w:t>
                  </w:r>
                  <w:r>
                    <w:rPr>
                      <w:b w:val="0"/>
                      <w:i/>
                      <w:sz w:val="18"/>
                      <w:highlight w:val="yellow"/>
                    </w:rPr>
                    <w:t>remember floppy baby syndrome</w:t>
                  </w:r>
                  <w:r>
                    <w:rPr>
                      <w:b w:val="0"/>
                      <w:i/>
                      <w:sz w:val="18"/>
                    </w:rPr>
                    <w:t>.”</w:t>
                  </w:r>
                  <w:r>
                    <w:rPr>
                      <w:b w:val="0"/>
                      <w:i w:val="0"/>
                      <w:sz w:val="18"/>
                    </w:rPr>
                    <w:t xml:space="preserve"> [part 1, 36:05]</w:t>
                  </w:r>
                </w:p>
              </w:tc>
              <w:tc>
                <w:tcPr>
                  <w:tcW w:type="dxa" w:w="5112"/>
                </w:tcPr>
                <w:p>
                  <w:pPr>
                    <w:spacing w:after="40"/>
                  </w:pPr>
                  <w:r>
                    <w:rPr>
                      <w:sz w:val="18"/>
                    </w:rPr>
                  </w:r>
                  <w:r>
                    <w:rPr>
                      <w:b w:val="0"/>
                      <w:i w:val="0"/>
                      <w:sz w:val="18"/>
                    </w:rPr>
                    <w:t>Infant botulism: ingested spores germinate in the infant gut; flaccid paralysis (10.6).</w:t>
                  </w:r>
                </w:p>
              </w:tc>
            </w:tr>
            <w:tr>
              <w:tc>
                <w:tcPr>
                  <w:tcW w:type="dxa" w:w="5112"/>
                </w:tcPr>
                <w:p>
                  <w:pPr>
                    <w:spacing w:after="40"/>
                  </w:pPr>
                  <w:r>
                    <w:rPr>
                      <w:sz w:val="18"/>
                    </w:rPr>
                  </w:r>
                  <w:r>
                    <w:rPr>
                      <w:b w:val="0"/>
                      <w:i/>
                      <w:sz w:val="18"/>
                    </w:rPr>
                    <w:t>Erysipelothrix</w:t>
                  </w:r>
                  <w:r>
                    <w:rPr>
                      <w:b w:val="0"/>
                      <w:i w:val="0"/>
                      <w:sz w:val="18"/>
                    </w:rPr>
                    <w:t xml:space="preserve">: </w:t>
                  </w:r>
                  <w:r>
                    <w:rPr>
                      <w:b w:val="0"/>
                      <w:i/>
                      <w:sz w:val="18"/>
                    </w:rPr>
                    <w:t>“You’re not going to need to worry too much about that one”</w:t>
                  </w:r>
                  <w:r>
                    <w:rPr>
                      <w:b w:val="0"/>
                      <w:i w:val="0"/>
                      <w:sz w:val="18"/>
                    </w:rPr>
                    <w:t xml:space="preserve"> [part 2, 0:24] and </w:t>
                  </w:r>
                  <w:r>
                    <w:rPr>
                      <w:b w:val="0"/>
                      <w:i/>
                      <w:sz w:val="18"/>
                    </w:rPr>
                    <w:t>“this is the one I’m not really going to worry too much about”</w:t>
                  </w:r>
                  <w:r>
                    <w:rPr>
                      <w:b w:val="0"/>
                      <w:i w:val="0"/>
                      <w:sz w:val="18"/>
                    </w:rPr>
                    <w:t xml:space="preserve"> [part 2, 9:11]. Notability hears the first as </w:t>
                  </w:r>
                  <w:r>
                    <w:rPr>
                      <w:b w:val="0"/>
                      <w:i/>
                      <w:sz w:val="18"/>
                    </w:rPr>
                    <w:t>“I’m not testing you on that”</w:t>
                  </w:r>
                  <w:r>
                    <w:rPr>
                      <w:b w:val="0"/>
                      <w:i w:val="0"/>
                      <w:sz w:val="18"/>
                    </w:rPr>
                    <w:t>; the local transcript as “not stressing you on that”.</w:t>
                  </w:r>
                </w:p>
              </w:tc>
              <w:tc>
                <w:tcPr>
                  <w:tcW w:type="dxa" w:w="5112"/>
                </w:tcPr>
                <w:p>
                  <w:pPr>
                    <w:spacing w:after="40"/>
                  </w:pPr>
                  <w:r>
                    <w:rPr>
                      <w:sz w:val="18"/>
                    </w:rPr>
                  </w:r>
                  <w:r>
                    <w:rPr>
                      <w:b w:val="0"/>
                      <w:i w:val="0"/>
                      <w:sz w:val="18"/>
                    </w:rPr>
                    <w:t>Slides 57–58 are kept in 10.8 for completeness; no quiz question is built on them.</w:t>
                  </w:r>
                </w:p>
              </w:tc>
            </w:tr>
            <w:tr>
              <w:tc>
                <w:tcPr>
                  <w:tcW w:type="dxa" w:w="5112"/>
                </w:tcPr>
                <w:p>
                  <w:pPr>
                    <w:spacing w:after="40"/>
                  </w:pPr>
                  <w:r>
                    <w:rPr>
                      <w:sz w:val="18"/>
                    </w:rPr>
                  </w:r>
                  <w:r>
                    <w:rPr>
                      <w:b w:val="0"/>
                      <w:i w:val="0"/>
                      <w:sz w:val="18"/>
                    </w:rPr>
                    <w:t xml:space="preserve">Diphtheria: the pseudomembrane </w:t>
                  </w:r>
                  <w:r>
                    <w:rPr>
                      <w:b w:val="0"/>
                      <w:i/>
                      <w:sz w:val="18"/>
                    </w:rPr>
                    <w:t xml:space="preserve">“is very characteristic of, for a diagnosis of this organism </w:t>
                  </w:r>
                  <w:r>
                    <w:rPr>
                      <w:b w:val="0"/>
                      <w:i/>
                      <w:sz w:val="18"/>
                      <w:highlight w:val="yellow"/>
                    </w:rPr>
                    <w:t>that you should know</w:t>
                  </w:r>
                  <w:r>
                    <w:rPr>
                      <w:b w:val="0"/>
                      <w:i/>
                      <w:sz w:val="18"/>
                    </w:rPr>
                    <w:t>.”</w:t>
                  </w:r>
                  <w:r>
                    <w:rPr>
                      <w:b w:val="0"/>
                      <w:i w:val="0"/>
                      <w:sz w:val="18"/>
                    </w:rPr>
                    <w:t xml:space="preserve"> [part 2, 13:48]</w:t>
                  </w:r>
                </w:p>
              </w:tc>
              <w:tc>
                <w:tcPr>
                  <w:tcW w:type="dxa" w:w="5112"/>
                </w:tcPr>
                <w:p>
                  <w:pPr>
                    <w:spacing w:after="40"/>
                  </w:pPr>
                  <w:r>
                    <w:rPr>
                      <w:sz w:val="18"/>
                    </w:rPr>
                  </w:r>
                  <w:r>
                    <w:rPr>
                      <w:b w:val="0"/>
                      <w:i w:val="0"/>
                      <w:sz w:val="18"/>
                    </w:rPr>
                    <w:t>Pseudomembrane in the throat = respiratory diphtheria (10.9).</w:t>
                  </w:r>
                </w:p>
              </w:tc>
            </w:tr>
            <w:tr>
              <w:tc>
                <w:tcPr>
                  <w:tcW w:type="dxa" w:w="5112"/>
                </w:tcPr>
                <w:p>
                  <w:pPr>
                    <w:spacing w:after="40"/>
                  </w:pPr>
                  <w:r>
                    <w:rPr>
                      <w:sz w:val="18"/>
                    </w:rPr>
                  </w:r>
                  <w:r>
                    <w:rPr>
                      <w:b w:val="0"/>
                      <w:i/>
                      <w:sz w:val="18"/>
                    </w:rPr>
                    <w:t>“</w:t>
                  </w:r>
                  <w:r>
                    <w:rPr>
                      <w:b w:val="0"/>
                      <w:i/>
                      <w:sz w:val="18"/>
                      <w:highlight w:val="yellow"/>
                    </w:rPr>
                    <w:t>You need to know the new name</w:t>
                  </w:r>
                  <w:r>
                    <w:rPr>
                      <w:b w:val="0"/>
                      <w:i/>
                      <w:sz w:val="18"/>
                    </w:rPr>
                    <w:t xml:space="preserve"> because this has been relatively recently reclassified. Propionibacterium is now called Cutibacterium.”</w:t>
                  </w:r>
                  <w:r>
                    <w:rPr>
                      <w:b w:val="0"/>
                      <w:i w:val="0"/>
                      <w:sz w:val="18"/>
                    </w:rPr>
                    <w:t xml:space="preserve"> [part 2, 16:02] (She also said slide 59 still carries the old name and that she would correct and repost the deck.)</w:t>
                  </w:r>
                </w:p>
              </w:tc>
              <w:tc>
                <w:tcPr>
                  <w:tcW w:type="dxa" w:w="5112"/>
                </w:tcPr>
                <w:p>
                  <w:pPr>
                    <w:spacing w:after="40"/>
                  </w:pPr>
                  <w:r>
                    <w:rPr>
                      <w:sz w:val="18"/>
                    </w:rPr>
                  </w:r>
                  <w:r>
                    <w:rPr>
                      <w:b w:val="0"/>
                      <w:i/>
                      <w:sz w:val="18"/>
                    </w:rPr>
                    <w:t>Cutibacterium acnes</w:t>
                  </w:r>
                  <w:r>
                    <w:rPr>
                      <w:b w:val="0"/>
                      <w:i w:val="0"/>
                      <w:sz w:val="18"/>
                    </w:rPr>
                    <w:t xml:space="preserve"> (10.10).</w:t>
                  </w:r>
                </w:p>
              </w:tc>
            </w:tr>
            <w:tr>
              <w:tc>
                <w:tcPr>
                  <w:tcW w:type="dxa" w:w="5112"/>
                </w:tcPr>
                <w:p>
                  <w:pPr>
                    <w:spacing w:after="40"/>
                  </w:pPr>
                  <w:r>
                    <w:rPr>
                      <w:sz w:val="18"/>
                    </w:rPr>
                  </w:r>
                  <w:r>
                    <w:rPr>
                      <w:b w:val="0"/>
                      <w:i w:val="0"/>
                      <w:sz w:val="18"/>
                    </w:rPr>
                    <w:t xml:space="preserve">The </w:t>
                  </w:r>
                  <w:r>
                    <w:rPr>
                      <w:b w:val="0"/>
                      <w:i/>
                      <w:sz w:val="18"/>
                    </w:rPr>
                    <w:t>Mycobacterium</w:t>
                  </w:r>
                  <w:r>
                    <w:rPr>
                      <w:b w:val="0"/>
                      <w:i w:val="0"/>
                      <w:sz w:val="18"/>
                    </w:rPr>
                    <w:t xml:space="preserve"> species table (slide 68): </w:t>
                  </w:r>
                  <w:r>
                    <w:rPr>
                      <w:b w:val="0"/>
                      <w:i/>
                      <w:sz w:val="18"/>
                    </w:rPr>
                    <w:t>“Another chart I am not asking you to memorize.”</w:t>
                  </w:r>
                  <w:r>
                    <w:rPr>
                      <w:b w:val="0"/>
                      <w:i w:val="0"/>
                      <w:sz w:val="18"/>
                    </w:rPr>
                    <w:t xml:space="preserve"> [part 2, 20:58]</w:t>
                  </w:r>
                </w:p>
              </w:tc>
              <w:tc>
                <w:tcPr>
                  <w:tcW w:type="dxa" w:w="5112"/>
                </w:tcPr>
                <w:p>
                  <w:pPr>
                    <w:spacing w:after="40"/>
                  </w:pPr>
                  <w:r>
                    <w:rPr>
                      <w:sz w:val="18"/>
                    </w:rPr>
                  </w:r>
                  <w:r>
                    <w:rPr>
                      <w:b w:val="0"/>
                      <w:i w:val="0"/>
                      <w:sz w:val="18"/>
                    </w:rPr>
                    <w:t>Know that many species exist and that non-tuberculous species trouble the immunosuppressed; do not learn the table.</w:t>
                  </w:r>
                </w:p>
              </w:tc>
            </w:tr>
            <w:tr>
              <w:tc>
                <w:tcPr>
                  <w:tcW w:type="dxa" w:w="5112"/>
                </w:tcPr>
                <w:p>
                  <w:pPr>
                    <w:spacing w:after="40"/>
                  </w:pPr>
                  <w:r>
                    <w:rPr>
                      <w:sz w:val="18"/>
                    </w:rPr>
                  </w:r>
                  <w:r>
                    <w:rPr>
                      <w:b w:val="0"/>
                      <w:i/>
                      <w:sz w:val="18"/>
                    </w:rPr>
                    <w:t xml:space="preserve">“Clinical tuberculosis is divided into </w:t>
                  </w:r>
                  <w:r>
                    <w:rPr>
                      <w:b w:val="0"/>
                      <w:i/>
                      <w:sz w:val="18"/>
                      <w:highlight w:val="yellow"/>
                    </w:rPr>
                    <w:t>three different stages that you need to know</w:t>
                  </w:r>
                  <w:r>
                    <w:rPr>
                      <w:b w:val="0"/>
                      <w:i/>
                      <w:sz w:val="18"/>
                    </w:rPr>
                    <w:t>.”</w:t>
                  </w:r>
                  <w:r>
                    <w:rPr>
                      <w:b w:val="0"/>
                      <w:i w:val="0"/>
                      <w:sz w:val="18"/>
                    </w:rPr>
                    <w:t xml:space="preserve"> [part 2, 24:39]</w:t>
                  </w:r>
                </w:p>
              </w:tc>
              <w:tc>
                <w:tcPr>
                  <w:tcW w:type="dxa" w:w="5112"/>
                </w:tcPr>
                <w:p>
                  <w:pPr>
                    <w:spacing w:after="40"/>
                  </w:pPr>
                  <w:r>
                    <w:rPr>
                      <w:sz w:val="18"/>
                    </w:rPr>
                  </w:r>
                  <w:r>
                    <w:rPr>
                      <w:b w:val="0"/>
                      <w:i w:val="0"/>
                      <w:sz w:val="18"/>
                    </w:rPr>
                    <w:t>Primary, secondary (reactivation or reinfection), disseminated (extrapulmonary) (10.11).</w:t>
                  </w:r>
                </w:p>
              </w:tc>
            </w:tr>
            <w:tr>
              <w:tc>
                <w:tcPr>
                  <w:tcW w:type="dxa" w:w="5112"/>
                </w:tcPr>
                <w:p>
                  <w:pPr>
                    <w:spacing w:after="40"/>
                  </w:pPr>
                  <w:r>
                    <w:rPr>
                      <w:sz w:val="18"/>
                    </w:rPr>
                  </w:r>
                  <w:r>
                    <w:rPr>
                      <w:b w:val="0"/>
                      <w:i w:val="0"/>
                      <w:sz w:val="18"/>
                    </w:rPr>
                    <w:t xml:space="preserve">The non-tuberculous mycobacteria (slide 90): </w:t>
                  </w:r>
                  <w:r>
                    <w:rPr>
                      <w:b w:val="0"/>
                      <w:i/>
                      <w:sz w:val="18"/>
                    </w:rPr>
                    <w:t>“</w:t>
                  </w:r>
                  <w:r>
                    <w:rPr>
                      <w:b w:val="0"/>
                      <w:i/>
                      <w:sz w:val="18"/>
                      <w:highlight w:val="yellow"/>
                    </w:rPr>
                    <w:t>don’t worry about being tested</w:t>
                  </w:r>
                  <w:r>
                    <w:rPr>
                      <w:b w:val="0"/>
                      <w:i/>
                      <w:sz w:val="18"/>
                    </w:rPr>
                    <w:t xml:space="preserve"> but just to show you”</w:t>
                  </w:r>
                  <w:r>
                    <w:rPr>
                      <w:b w:val="0"/>
                      <w:i w:val="0"/>
                      <w:sz w:val="18"/>
                    </w:rPr>
                    <w:t xml:space="preserve"> [part 2, 38:14]</w:t>
                  </w:r>
                </w:p>
              </w:tc>
              <w:tc>
                <w:tcPr>
                  <w:tcW w:type="dxa" w:w="5112"/>
                </w:tcPr>
                <w:p>
                  <w:pPr>
                    <w:spacing w:after="40"/>
                  </w:pPr>
                  <w:r>
                    <w:rPr>
                      <w:sz w:val="18"/>
                    </w:rPr>
                  </w:r>
                  <w:r>
                    <w:rPr>
                      <w:b w:val="0"/>
                      <w:i w:val="0"/>
                      <w:sz w:val="18"/>
                    </w:rPr>
                    <w:t>Slide 90 is context only; it is summarized in 10.11 and no question is built on it.</w:t>
                  </w:r>
                </w:p>
              </w:tc>
            </w:tr>
            <w:tr>
              <w:tc>
                <w:tcPr>
                  <w:tcW w:type="dxa" w:w="5112"/>
                </w:tcPr>
                <w:p>
                  <w:pPr>
                    <w:spacing w:after="40"/>
                  </w:pPr>
                  <w:r>
                    <w:rPr>
                      <w:sz w:val="18"/>
                    </w:rPr>
                  </w:r>
                  <w:r>
                    <w:rPr>
                      <w:b w:val="0"/>
                      <w:i/>
                      <w:sz w:val="18"/>
                    </w:rPr>
                    <w:t>Actinomyces israelii</w:t>
                  </w:r>
                  <w:r>
                    <w:rPr>
                      <w:b w:val="0"/>
                      <w:i w:val="0"/>
                      <w:sz w:val="18"/>
                    </w:rPr>
                    <w:t xml:space="preserve">: </w:t>
                  </w:r>
                  <w:r>
                    <w:rPr>
                      <w:b w:val="0"/>
                      <w:i/>
                      <w:sz w:val="18"/>
                    </w:rPr>
                    <w:t xml:space="preserve">“this is one </w:t>
                  </w:r>
                  <w:r>
                    <w:rPr>
                      <w:b w:val="0"/>
                      <w:i/>
                      <w:sz w:val="18"/>
                      <w:highlight w:val="yellow"/>
                    </w:rPr>
                    <w:t>that you should know</w:t>
                  </w:r>
                  <w:r>
                    <w:rPr>
                      <w:b w:val="0"/>
                      <w:i/>
                      <w:sz w:val="18"/>
                    </w:rPr>
                    <w:t xml:space="preserve"> because it is normally it’s a harmless organism because it’s superficial; when it is no longer superficial is when you have an issue with it.”</w:t>
                  </w:r>
                  <w:r>
                    <w:rPr>
                      <w:b w:val="0"/>
                      <w:i w:val="0"/>
                      <w:sz w:val="18"/>
                    </w:rPr>
                    <w:t xml:space="preserve"> [part 2, 41:38]</w:t>
                  </w:r>
                </w:p>
              </w:tc>
              <w:tc>
                <w:tcPr>
                  <w:tcW w:type="dxa" w:w="5112"/>
                </w:tcPr>
                <w:p>
                  <w:pPr>
                    <w:spacing w:after="40"/>
                  </w:pPr>
                  <w:r>
                    <w:rPr>
                      <w:sz w:val="18"/>
                    </w:rPr>
                  </w:r>
                  <w:r>
                    <w:rPr>
                      <w:b w:val="0"/>
                      <w:i w:val="0"/>
                      <w:sz w:val="18"/>
                    </w:rPr>
                    <w:t>Disease follows access to deeper tissue (10.13).</w:t>
                  </w:r>
                </w:p>
              </w:tc>
            </w:tr>
          </w:tbl>
          <w:p/>
          <w:p>
            <w:pPr>
              <w:spacing w:after="80"/>
            </w:pPr>
          </w:p>
          <w:p>
            <w:pPr>
              <w:spacing w:after="120"/>
            </w:pPr>
            <w:r>
              <w:rPr>
                <w:b/>
                <w:i w:val="0"/>
              </w:rPr>
              <w:t>Things said that are not on a slide</w:t>
            </w:r>
            <w:r>
              <w:rPr>
                <w:b w:val="0"/>
                <w:i w:val="0"/>
              </w:rPr>
              <w:t xml:space="preserve"> — consistent with the deck, useful as hooks, each present in both transcripts:</w:t>
            </w:r>
          </w:p>
          <w:p>
            <w:pPr>
              <w:pStyle w:val="ListBullet"/>
              <w:spacing w:after="40"/>
            </w:pPr>
            <w:r>
              <w:rPr>
                <w:b/>
                <w:i w:val="0"/>
                <w:sz w:val="20"/>
              </w:rPr>
              <w:t>Hydrogen peroxide in a deep puncture wound</w:t>
            </w:r>
            <w:r>
              <w:rPr>
                <w:b w:val="0"/>
                <w:i w:val="0"/>
                <w:sz w:val="20"/>
              </w:rPr>
              <w:t>: flooded deep into the wound, the catalase in your tissues releases oxygen, which inhibits the anaerobic clostridia; on a surface wound it mostly lifts dirt by bubbling. [part 1, 23:16–23:50]</w:t>
            </w:r>
          </w:p>
          <w:p>
            <w:pPr>
              <w:pStyle w:val="ListBullet"/>
              <w:spacing w:after="40"/>
            </w:pPr>
            <w:r>
              <w:rPr>
                <w:b w:val="0"/>
                <w:i w:val="0"/>
                <w:sz w:val="20"/>
              </w:rPr>
              <w:t xml:space="preserve">The rusty nail: </w:t>
            </w:r>
            <w:r>
              <w:rPr>
                <w:b/>
                <w:i w:val="0"/>
                <w:sz w:val="20"/>
              </w:rPr>
              <w:t>“the rust has nothing to do with it”</w:t>
            </w:r>
            <w:r>
              <w:rPr>
                <w:b w:val="0"/>
                <w:i w:val="0"/>
                <w:sz w:val="20"/>
              </w:rPr>
              <w:t xml:space="preserve"> — the danger is the puncture wound. [part 1, 27:51]</w:t>
            </w:r>
          </w:p>
          <w:p>
            <w:pPr>
              <w:pStyle w:val="ListBullet"/>
              <w:spacing w:after="40"/>
            </w:pPr>
            <w:r>
              <w:rPr>
                <w:b w:val="0"/>
                <w:i w:val="0"/>
                <w:sz w:val="20"/>
              </w:rPr>
              <w:t xml:space="preserve">Why boiling home-canned food for 10 minutes works: </w:t>
            </w:r>
            <w:r>
              <w:rPr>
                <w:b/>
                <w:i w:val="0"/>
                <w:sz w:val="20"/>
              </w:rPr>
              <w:t>the botulinum toxin is sensitive to heat even though the spore is not</w:t>
            </w:r>
            <w:r>
              <w:rPr>
                <w:b w:val="0"/>
                <w:i w:val="0"/>
                <w:sz w:val="20"/>
              </w:rPr>
              <w:t>. [part 1, 39:03]</w:t>
            </w:r>
          </w:p>
          <w:p>
            <w:pPr>
              <w:pStyle w:val="ListBullet"/>
              <w:spacing w:after="40"/>
            </w:pPr>
            <w:r>
              <w:rPr>
                <w:b w:val="0"/>
                <w:i w:val="0"/>
                <w:sz w:val="20"/>
              </w:rPr>
              <w:t>Why infants and not adults: the infant digestive system is immature, so swallowed spores meet the anaerobic conditions that let them germinate. [part 1, 34:20]</w:t>
            </w:r>
          </w:p>
          <w:p>
            <w:pPr>
              <w:pStyle w:val="ListBullet"/>
              <w:spacing w:after="40"/>
            </w:pPr>
            <w:r>
              <w:rPr>
                <w:b w:val="0"/>
                <w:i w:val="0"/>
                <w:sz w:val="20"/>
              </w:rPr>
              <w:t xml:space="preserve">The Mantoux test is read at 48–72 hours </w:t>
            </w:r>
            <w:r>
              <w:rPr>
                <w:b/>
                <w:i w:val="0"/>
                <w:sz w:val="20"/>
              </w:rPr>
              <w:t>because it is a type IV (delayed) hypersensitivity reaction</w:t>
            </w:r>
            <w:r>
              <w:rPr>
                <w:b w:val="0"/>
                <w:i w:val="0"/>
                <w:sz w:val="20"/>
              </w:rPr>
              <w:t xml:space="preserve"> — the link back to Lecture 7. [part 2, 28:08]</w:t>
            </w:r>
          </w:p>
          <w:p>
            <w:pPr>
              <w:pStyle w:val="ListBullet"/>
              <w:spacing w:after="40"/>
            </w:pPr>
            <w:r>
              <w:rPr>
                <w:b w:val="0"/>
                <w:i/>
                <w:sz w:val="20"/>
              </w:rPr>
              <w:t>Cutibacterium</w:t>
            </w:r>
            <w:r>
              <w:rPr>
                <w:b w:val="0"/>
                <w:i w:val="0"/>
                <w:sz w:val="20"/>
              </w:rPr>
              <w:t>: routine cultures used to be read at one to two days and thrown away, so a growth that takes more than six days was missed. [part 2, 17:50]</w:t>
            </w:r>
          </w:p>
          <w:p>
            <w:pPr>
              <w:pStyle w:val="ListBullet"/>
              <w:spacing w:after="40"/>
            </w:pPr>
            <w:r>
              <w:rPr>
                <w:b w:val="0"/>
                <w:i w:val="0"/>
                <w:sz w:val="20"/>
              </w:rPr>
              <w:t xml:space="preserve">Leprosy spreads with prolonged close living, </w:t>
            </w:r>
            <w:r>
              <w:rPr>
                <w:b/>
                <w:i w:val="0"/>
                <w:sz w:val="20"/>
              </w:rPr>
              <w:t>not casual contact</w:t>
            </w:r>
            <w:r>
              <w:rPr>
                <w:b w:val="0"/>
                <w:i w:val="0"/>
                <w:sz w:val="20"/>
              </w:rPr>
              <w:t>. [part 2, 33:35]</w:t>
            </w:r>
          </w:p>
          <w:p>
            <w:pPr>
              <w:pStyle w:val="ListBullet"/>
              <w:spacing w:after="40"/>
            </w:pPr>
            <w:r>
              <w:rPr>
                <w:b w:val="0"/>
                <w:i/>
                <w:sz w:val="20"/>
              </w:rPr>
              <w:t>Actinomyces viscosus</w:t>
            </w:r>
            <w:r>
              <w:rPr>
                <w:b w:val="0"/>
                <w:i w:val="0"/>
                <w:sz w:val="20"/>
              </w:rPr>
              <w:t xml:space="preserve"> in the mouth is why patients with heart conditions or implants take antibiotic prophylaxis before dental work. [part 2, 42:15]</w:t>
            </w:r>
          </w:p>
          <w:p>
            <w:pPr>
              <w:spacing w:after="120"/>
            </w:pPr>
            <w:r>
              <w:rPr>
                <w:b/>
                <w:i w:val="0"/>
              </w:rPr>
              <w:t>One slip to ignore.</w:t>
            </w:r>
            <w:r>
              <w:rPr>
                <w:b w:val="0"/>
                <w:i w:val="0"/>
              </w:rPr>
              <w:t xml:space="preserve"> Summing up tetanus she said “just blocking the release of the neuromuscular junction” [part 1, 29:14] (both transcripts). That is botulism’s mechanism. Tetanospasmin blocks the </w:t>
            </w:r>
            <w:r>
              <w:rPr>
                <w:b w:val="0"/>
                <w:i/>
              </w:rPr>
              <w:t>inhibitory</w:t>
            </w:r>
            <w:r>
              <w:rPr>
                <w:b w:val="0"/>
                <w:i w:val="0"/>
              </w:rPr>
              <w:t xml:space="preserve"> transmitters from spinal neurons (slides 29–30), which is why tetanus is spastic and botulism flaccid. See 10.5.</w:t>
            </w:r>
          </w:p>
        </w:tc>
      </w:tr>
    </w:tbl>
    <w:p>
      <w:pPr>
        <w:spacing w:after="80"/>
      </w:pPr>
    </w:p>
    <w:p>
      <w:pPr>
        <w:pStyle w:val="Heading2"/>
        <w:spacing w:before="200" w:after="100"/>
      </w:pPr>
      <w:r>
        <w:rPr>
          <w:rFonts w:ascii="Georgia" w:hAnsi="Georgia"/>
          <w:color w:val="1F4D2B"/>
        </w:rPr>
        <w:t>10.1 · Objective 1 — Sorting the Gram-positive bacilli</w:t>
      </w:r>
    </w:p>
    <w:p>
      <w:pPr>
        <w:spacing w:after="120"/>
      </w:pPr>
      <w:r>
        <w:rPr>
          <w:b w:val="0"/>
          <w:i w:val="0"/>
        </w:rPr>
        <w:t xml:space="preserve">The medically important Gram-positive bacilli divide into three general groups on two properties, </w:t>
      </w:r>
      <w:r>
        <w:rPr>
          <w:b/>
          <w:i w:val="0"/>
        </w:rPr>
        <w:t>the presence or absence of endospores and acid-fastness</w:t>
      </w:r>
      <w:r>
        <w:rPr>
          <w:b w:val="0"/>
          <w:i w:val="0"/>
        </w:rPr>
        <w:t>: the endospore-formers, the non-endospore-formers, and those of irregular shape and staining.</w:t>
      </w:r>
    </w:p>
    <w:p>
      <w:pPr>
        <w:jc w:val="center"/>
      </w:pPr>
      <w:r>
        <w:drawing>
          <wp:inline xmlns:a="http://schemas.openxmlformats.org/drawingml/2006/main" xmlns:pic="http://schemas.openxmlformats.org/drawingml/2006/picture">
            <wp:extent cx="3840480" cy="1653898"/>
            <wp:docPr id="22" name="Picture 22"/>
            <wp:cNvGraphicFramePr>
              <a:graphicFrameLocks noChangeAspect="1"/>
            </wp:cNvGraphicFramePr>
            <a:graphic>
              <a:graphicData uri="http://schemas.openxmlformats.org/drawingml/2006/picture">
                <pic:pic>
                  <pic:nvPicPr>
                    <pic:cNvPr id="0" name="Microbiology_Exam_2_micro-exam-2-study-guide-images_l10-s05-differentiation-scheme.jpg"/>
                    <pic:cNvPicPr/>
                  </pic:nvPicPr>
                  <pic:blipFill>
                    <a:blip r:embed="rId30"/>
                    <a:stretch>
                      <a:fillRect/>
                    </a:stretch>
                  </pic:blipFill>
                  <pic:spPr>
                    <a:xfrm>
                      <a:off x="0" y="0"/>
                      <a:ext cx="3840480" cy="1653898"/>
                    </a:xfrm>
                    <a:prstGeom prst="rect"/>
                  </pic:spPr>
                </pic:pic>
              </a:graphicData>
            </a:graphic>
          </wp:inline>
        </w:drawing>
      </w:r>
    </w:p>
    <w:p>
      <w:pPr>
        <w:spacing w:after="160"/>
        <w:jc w:val="center"/>
      </w:pPr>
      <w:r>
        <w:rPr>
          <w:sz w:val="15"/>
        </w:rPr>
        <w:t>The whole lecture on one slide (Table 19.1). Read it top down: spores? then, for the spore-formers, oxygen (aerobic or facultative Bacillus against obligately anaerobic Clostridium ); for the non-spore-formers, regular or irregular , and for the irregular ones, acid-fast or not, filamentous or not . Propionibacterium is now Cutibacterium . Source: Lecture 9 Dr. Webster Gram positive Bacilli.pptx,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Bacillus</w:t>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Clostridium</w:t>
            </w:r>
          </w:p>
        </w:tc>
      </w:tr>
      <w:tr>
        <w:tc>
          <w:tcPr>
            <w:tcW w:type="dxa" w:w="3408"/>
          </w:tcPr>
          <w:p>
            <w:pPr>
              <w:spacing w:after="40"/>
            </w:pPr>
            <w:r>
              <w:rPr>
                <w:sz w:val="18"/>
              </w:rPr>
            </w:r>
            <w:r>
              <w:rPr>
                <w:b w:val="0"/>
                <w:i w:val="0"/>
                <w:sz w:val="18"/>
              </w:rPr>
              <w:t>Shape and stain</w:t>
            </w:r>
          </w:p>
        </w:tc>
        <w:tc>
          <w:tcPr>
            <w:tcW w:type="dxa" w:w="3408"/>
          </w:tcPr>
          <w:p>
            <w:pPr>
              <w:spacing w:after="40"/>
            </w:pPr>
            <w:r>
              <w:rPr>
                <w:sz w:val="18"/>
              </w:rPr>
            </w:r>
            <w:r>
              <w:rPr>
                <w:b w:val="0"/>
                <w:i w:val="0"/>
                <w:sz w:val="18"/>
              </w:rPr>
              <w:t>Gram-positive, endospore-forming, motile rods</w:t>
            </w:r>
          </w:p>
        </w:tc>
        <w:tc>
          <w:tcPr>
            <w:tcW w:type="dxa" w:w="3408"/>
          </w:tcPr>
          <w:p>
            <w:pPr>
              <w:spacing w:after="40"/>
            </w:pPr>
            <w:r>
              <w:rPr>
                <w:sz w:val="18"/>
              </w:rPr>
            </w:r>
            <w:r>
              <w:rPr>
                <w:b w:val="0"/>
                <w:i w:val="0"/>
                <w:sz w:val="18"/>
              </w:rPr>
              <w:t>Gram-positive, spore-forming rods</w:t>
            </w:r>
          </w:p>
        </w:tc>
      </w:tr>
      <w:tr>
        <w:tc>
          <w:tcPr>
            <w:tcW w:type="dxa" w:w="3408"/>
          </w:tcPr>
          <w:p>
            <w:pPr>
              <w:spacing w:after="40"/>
            </w:pPr>
            <w:r>
              <w:rPr>
                <w:sz w:val="18"/>
              </w:rPr>
            </w:r>
            <w:r>
              <w:rPr>
                <w:b w:val="0"/>
                <w:i w:val="0"/>
                <w:sz w:val="18"/>
              </w:rPr>
              <w:t>Spore position</w:t>
            </w:r>
          </w:p>
        </w:tc>
        <w:tc>
          <w:tcPr>
            <w:tcW w:type="dxa" w:w="3408"/>
          </w:tcPr>
          <w:p>
            <w:pPr>
              <w:spacing w:after="40"/>
            </w:pPr>
            <w:r>
              <w:rPr>
                <w:sz w:val="18"/>
              </w:rPr>
            </w:r>
            <w:r>
              <w:rPr>
                <w:b/>
                <w:i w:val="0"/>
                <w:sz w:val="18"/>
                <w:highlight w:val="yellow"/>
              </w:rPr>
              <w:t>Central</w:t>
            </w:r>
            <w:r>
              <w:rPr>
                <w:b w:val="0"/>
                <w:i w:val="0"/>
                <w:sz w:val="18"/>
              </w:rPr>
              <w:t xml:space="preserve"> (a diagnostic characteristic)</w:t>
            </w:r>
          </w:p>
        </w:tc>
        <w:tc>
          <w:tcPr>
            <w:tcW w:type="dxa" w:w="3408"/>
          </w:tcPr>
          <w:p>
            <w:pPr>
              <w:spacing w:after="40"/>
            </w:pPr>
            <w:r>
              <w:rPr>
                <w:sz w:val="18"/>
              </w:rPr>
            </w:r>
            <w:r>
              <w:rPr>
                <w:b/>
                <w:i w:val="0"/>
                <w:sz w:val="18"/>
                <w:highlight w:val="yellow"/>
              </w:rPr>
              <w:t>Terminal</w:t>
            </w:r>
            <w:r>
              <w:rPr>
                <w:b w:val="0"/>
                <w:i w:val="0"/>
                <w:sz w:val="18"/>
              </w:rPr>
              <w:t xml:space="preserve">; oval or spherical spores produced </w:t>
            </w:r>
            <w:r>
              <w:rPr>
                <w:b/>
                <w:i w:val="0"/>
                <w:sz w:val="18"/>
              </w:rPr>
              <w:t>only under anaerobic conditions</w:t>
            </w:r>
          </w:p>
        </w:tc>
      </w:tr>
      <w:tr>
        <w:tc>
          <w:tcPr>
            <w:tcW w:type="dxa" w:w="3408"/>
          </w:tcPr>
          <w:p>
            <w:pPr>
              <w:spacing w:after="40"/>
            </w:pPr>
            <w:r>
              <w:rPr>
                <w:sz w:val="18"/>
              </w:rPr>
            </w:r>
            <w:r>
              <w:rPr>
                <w:b w:val="0"/>
                <w:i w:val="0"/>
                <w:sz w:val="18"/>
              </w:rPr>
              <w:t>Oxygen and catalase</w:t>
            </w:r>
          </w:p>
        </w:tc>
        <w:tc>
          <w:tcPr>
            <w:tcW w:type="dxa" w:w="3408"/>
          </w:tcPr>
          <w:p>
            <w:pPr>
              <w:spacing w:after="40"/>
            </w:pPr>
            <w:r>
              <w:rPr>
                <w:sz w:val="18"/>
              </w:rPr>
            </w:r>
            <w:r>
              <w:rPr>
                <w:b/>
                <w:i w:val="0"/>
                <w:sz w:val="18"/>
              </w:rPr>
              <w:t>Aerobic</w:t>
            </w:r>
            <w:r>
              <w:rPr>
                <w:b w:val="0"/>
                <w:i w:val="0"/>
                <w:sz w:val="18"/>
              </w:rPr>
              <w:t xml:space="preserve"> (aerobic or facultatively anaerobic in the scheme), </w:t>
            </w:r>
            <w:r>
              <w:rPr>
                <w:b/>
                <w:i w:val="0"/>
                <w:sz w:val="18"/>
              </w:rPr>
              <w:t>catalase positive</w:t>
            </w:r>
          </w:p>
        </w:tc>
        <w:tc>
          <w:tcPr>
            <w:tcW w:type="dxa" w:w="3408"/>
          </w:tcPr>
          <w:p>
            <w:pPr>
              <w:spacing w:after="40"/>
            </w:pPr>
            <w:r>
              <w:rPr>
                <w:sz w:val="18"/>
              </w:rPr>
            </w:r>
            <w:r>
              <w:rPr>
                <w:b/>
                <w:i w:val="0"/>
                <w:sz w:val="18"/>
              </w:rPr>
              <w:t>Anaerobic</w:t>
            </w:r>
            <w:r>
              <w:rPr>
                <w:b w:val="0"/>
                <w:i w:val="0"/>
                <w:sz w:val="18"/>
              </w:rPr>
              <w:t xml:space="preserve">, </w:t>
            </w:r>
            <w:r>
              <w:rPr>
                <w:b/>
                <w:i w:val="0"/>
                <w:sz w:val="18"/>
              </w:rPr>
              <w:t>catalase negative</w:t>
            </w:r>
          </w:p>
        </w:tc>
      </w:tr>
      <w:tr>
        <w:tc>
          <w:tcPr>
            <w:tcW w:type="dxa" w:w="3408"/>
          </w:tcPr>
          <w:p>
            <w:pPr>
              <w:spacing w:after="40"/>
            </w:pPr>
            <w:r>
              <w:rPr>
                <w:sz w:val="18"/>
              </w:rPr>
            </w:r>
            <w:r>
              <w:rPr>
                <w:b w:val="0"/>
                <w:i w:val="0"/>
                <w:sz w:val="18"/>
              </w:rPr>
              <w:t>Habitat and lifestyle</w:t>
            </w:r>
          </w:p>
        </w:tc>
        <w:tc>
          <w:tcPr>
            <w:tcW w:type="dxa" w:w="3408"/>
          </w:tcPr>
          <w:p>
            <w:pPr>
              <w:spacing w:after="40"/>
            </w:pPr>
            <w:r>
              <w:rPr>
                <w:sz w:val="18"/>
              </w:rPr>
            </w:r>
            <w:r>
              <w:rPr>
                <w:b w:val="0"/>
                <w:i w:val="0"/>
                <w:sz w:val="18"/>
              </w:rPr>
              <w:t xml:space="preserve">Mostly saprobic; primary habitat </w:t>
            </w:r>
            <w:r>
              <w:rPr>
                <w:b/>
                <w:i w:val="0"/>
                <w:sz w:val="18"/>
              </w:rPr>
              <w:t>soil</w:t>
            </w:r>
            <w:r>
              <w:rPr>
                <w:b w:val="0"/>
                <w:i w:val="0"/>
                <w:sz w:val="18"/>
              </w:rPr>
              <w:t>; versatile in degrading complex macromolecules</w:t>
            </w:r>
          </w:p>
        </w:tc>
        <w:tc>
          <w:tcPr>
            <w:tcW w:type="dxa" w:w="3408"/>
          </w:tcPr>
          <w:p>
            <w:pPr>
              <w:spacing w:after="40"/>
            </w:pPr>
            <w:r>
              <w:rPr>
                <w:sz w:val="18"/>
              </w:rPr>
            </w:r>
            <w:r>
              <w:rPr>
                <w:b w:val="0"/>
                <w:i w:val="0"/>
                <w:sz w:val="18"/>
              </w:rPr>
              <w:t>About 120 species; spores in soil, skin, intestine and vagina; opportunistic pathogens</w:t>
            </w:r>
          </w:p>
        </w:tc>
      </w:tr>
      <w:tr>
        <w:tc>
          <w:tcPr>
            <w:tcW w:type="dxa" w:w="3408"/>
          </w:tcPr>
          <w:p>
            <w:pPr>
              <w:spacing w:after="40"/>
            </w:pPr>
            <w:r>
              <w:rPr>
                <w:sz w:val="18"/>
              </w:rPr>
            </w:r>
            <w:r>
              <w:rPr>
                <w:b w:val="0"/>
                <w:i w:val="0"/>
                <w:sz w:val="18"/>
              </w:rPr>
              <w:t>Products</w:t>
            </w:r>
          </w:p>
        </w:tc>
        <w:tc>
          <w:tcPr>
            <w:tcW w:type="dxa" w:w="3408"/>
          </w:tcPr>
          <w:p>
            <w:pPr>
              <w:spacing w:after="40"/>
            </w:pPr>
            <w:r>
              <w:rPr>
                <w:sz w:val="18"/>
              </w:rPr>
            </w:r>
            <w:r>
              <w:rPr>
                <w:b w:val="0"/>
                <w:i w:val="0"/>
                <w:sz w:val="18"/>
              </w:rPr>
              <w:t xml:space="preserve">Antibiotics: gramicidin, tyrocidine, </w:t>
            </w:r>
            <w:r>
              <w:rPr>
                <w:b/>
                <w:i w:val="0"/>
                <w:sz w:val="18"/>
              </w:rPr>
              <w:t>bacitracin</w:t>
            </w:r>
            <w:r>
              <w:rPr>
                <w:b w:val="0"/>
                <w:i w:val="0"/>
                <w:sz w:val="18"/>
              </w:rPr>
              <w:t>, mycobacillin, surfactin, bacilysin, subtilin</w:t>
            </w:r>
          </w:p>
        </w:tc>
        <w:tc>
          <w:tcPr>
            <w:tcW w:type="dxa" w:w="3408"/>
          </w:tcPr>
          <w:p>
            <w:pPr>
              <w:spacing w:after="40"/>
            </w:pPr>
            <w:r>
              <w:rPr>
                <w:sz w:val="18"/>
              </w:rPr>
            </w:r>
            <w:r>
              <w:rPr>
                <w:b w:val="0"/>
                <w:i w:val="0"/>
                <w:sz w:val="18"/>
              </w:rPr>
              <w:t xml:space="preserve">Organic acids, alcohols and </w:t>
            </w:r>
            <w:r>
              <w:rPr>
                <w:b/>
                <w:i w:val="0"/>
                <w:sz w:val="18"/>
              </w:rPr>
              <w:t>exotoxins among the most toxic substances on earth</w:t>
            </w:r>
          </w:p>
        </w:tc>
      </w:tr>
      <w:tr>
        <w:tc>
          <w:tcPr>
            <w:tcW w:type="dxa" w:w="3408"/>
          </w:tcPr>
          <w:p>
            <w:pPr>
              <w:spacing w:after="40"/>
            </w:pPr>
            <w:r>
              <w:rPr>
                <w:sz w:val="18"/>
              </w:rPr>
            </w:r>
            <w:r>
              <w:rPr>
                <w:b w:val="0"/>
                <w:i w:val="0"/>
                <w:sz w:val="18"/>
              </w:rPr>
              <w:t>Infections</w:t>
            </w:r>
          </w:p>
        </w:tc>
        <w:tc>
          <w:tcPr>
            <w:tcW w:type="dxa" w:w="3408"/>
          </w:tcPr>
          <w:p>
            <w:pPr>
              <w:spacing w:after="40"/>
            </w:pPr>
            <w:r>
              <w:rPr>
                <w:sz w:val="18"/>
              </w:rPr>
            </w:r>
            <w:r>
              <w:rPr>
                <w:b w:val="0"/>
                <w:i w:val="0"/>
                <w:sz w:val="18"/>
              </w:rPr>
              <w:t xml:space="preserve">Two species of medical importance: </w:t>
            </w:r>
            <w:r>
              <w:rPr>
                <w:b w:val="0"/>
                <w:i/>
                <w:sz w:val="18"/>
              </w:rPr>
              <w:t>B. anthracis</w:t>
            </w:r>
            <w:r>
              <w:rPr>
                <w:b w:val="0"/>
                <w:i w:val="0"/>
                <w:sz w:val="18"/>
              </w:rPr>
              <w:t xml:space="preserve">, </w:t>
            </w:r>
            <w:r>
              <w:rPr>
                <w:b w:val="0"/>
                <w:i/>
                <w:sz w:val="18"/>
              </w:rPr>
              <w:t>B. cereus</w:t>
            </w:r>
          </w:p>
        </w:tc>
        <w:tc>
          <w:tcPr>
            <w:tcW w:type="dxa" w:w="3408"/>
          </w:tcPr>
          <w:p>
            <w:pPr>
              <w:spacing w:after="40"/>
            </w:pPr>
            <w:r>
              <w:rPr>
                <w:sz w:val="18"/>
              </w:rPr>
            </w:r>
            <w:r>
              <w:rPr>
                <w:b w:val="0"/>
                <w:i w:val="0"/>
                <w:sz w:val="18"/>
              </w:rPr>
              <w:t xml:space="preserve">Two types: </w:t>
            </w:r>
            <w:r>
              <w:rPr>
                <w:b/>
                <w:i w:val="0"/>
                <w:sz w:val="18"/>
              </w:rPr>
              <w:t>wound and tissue infections</w:t>
            </w:r>
            <w:r>
              <w:rPr>
                <w:b w:val="0"/>
                <w:i w:val="0"/>
                <w:sz w:val="18"/>
              </w:rPr>
              <w:t xml:space="preserve">, and </w:t>
            </w:r>
            <w:r>
              <w:rPr>
                <w:b/>
                <w:i w:val="0"/>
                <w:sz w:val="18"/>
              </w:rPr>
              <w:t>food intoxications</w:t>
            </w:r>
          </w:p>
        </w:tc>
      </w:tr>
    </w:tbl>
    <w:p>
      <w:pPr>
        <w:spacing w:after="80"/>
      </w:pPr>
    </w:p>
    <w:p>
      <w:pPr>
        <w:spacing w:after="120"/>
      </w:pPr>
      <w:r>
        <w:rPr>
          <w:b w:val="0"/>
          <w:i w:val="0"/>
        </w:rPr>
        <w:t xml:space="preserve">The spore-forming genera are </w:t>
      </w:r>
      <w:r>
        <w:rPr>
          <w:b w:val="0"/>
          <w:i/>
        </w:rPr>
        <w:t>Bacillus</w:t>
      </w:r>
      <w:r>
        <w:rPr>
          <w:b w:val="0"/>
          <w:i w:val="0"/>
        </w:rPr>
        <w:t xml:space="preserve">, </w:t>
      </w:r>
      <w:r>
        <w:rPr>
          <w:b w:val="0"/>
          <w:i/>
        </w:rPr>
        <w:t>Clostridium</w:t>
      </w:r>
      <w:r>
        <w:rPr>
          <w:b w:val="0"/>
          <w:i w:val="0"/>
        </w:rPr>
        <w:t xml:space="preserve">, </w:t>
      </w:r>
      <w:r>
        <w:rPr>
          <w:b w:val="0"/>
          <w:i/>
        </w:rPr>
        <w:t>Clostridioides</w:t>
      </w:r>
      <w:r>
        <w:rPr>
          <w:b w:val="0"/>
          <w:i w:val="0"/>
        </w:rPr>
        <w:t xml:space="preserve"> and </w:t>
      </w:r>
      <w:r>
        <w:rPr>
          <w:b w:val="0"/>
          <w:i/>
        </w:rPr>
        <w:t>Sporolactobacillus</w:t>
      </w:r>
      <w:r>
        <w:rPr>
          <w:b w:val="0"/>
          <w:i w:val="0"/>
        </w:rPr>
        <w:t xml:space="preserve"> (not pathogenic; a potential probiotic).</w:t>
      </w:r>
    </w:p>
    <w:p>
      <w:pPr>
        <w:jc w:val="center"/>
      </w:pPr>
      <w:r>
        <w:drawing>
          <wp:inline xmlns:a="http://schemas.openxmlformats.org/drawingml/2006/main" xmlns:pic="http://schemas.openxmlformats.org/drawingml/2006/picture">
            <wp:extent cx="3840480" cy="2640330"/>
            <wp:docPr id="23" name="Picture 23"/>
            <wp:cNvGraphicFramePr>
              <a:graphicFrameLocks noChangeAspect="1"/>
            </wp:cNvGraphicFramePr>
            <a:graphic>
              <a:graphicData uri="http://schemas.openxmlformats.org/drawingml/2006/picture">
                <pic:pic>
                  <pic:nvPicPr>
                    <pic:cNvPr id="0" name="Microbiology_Exam_2_micro-exam-2-study-guide-images_l10-s08-anthracis-central-spores.jpg"/>
                    <pic:cNvPicPr/>
                  </pic:nvPicPr>
                  <pic:blipFill>
                    <a:blip r:embed="rId31"/>
                    <a:stretch>
                      <a:fillRect/>
                    </a:stretch>
                  </pic:blipFill>
                  <pic:spPr>
                    <a:xfrm>
                      <a:off x="0" y="0"/>
                      <a:ext cx="3840480" cy="2640330"/>
                    </a:xfrm>
                    <a:prstGeom prst="rect"/>
                  </pic:spPr>
                </pic:pic>
              </a:graphicData>
            </a:graphic>
          </wp:inline>
        </w:drawing>
      </w:r>
    </w:p>
    <w:p>
      <w:pPr>
        <w:spacing w:after="160"/>
        <w:jc w:val="center"/>
      </w:pPr>
      <w:r>
        <w:rPr>
          <w:sz w:val="15"/>
        </w:rPr>
        <w:t>Central spores, the Bacillus pattern. Bacillus anthracis in chains: the vegetative cell takes up the stain and the spore, sitting in the middle of the cell, does not. Source: Lecture 9 Dr. Webster Gram positive Bacilli.pptx, Slide 8.</w:t>
      </w:r>
    </w:p>
    <w:p>
      <w:pPr>
        <w:jc w:val="center"/>
      </w:pPr>
      <w:r>
        <w:drawing>
          <wp:inline xmlns:a="http://schemas.openxmlformats.org/drawingml/2006/main" xmlns:pic="http://schemas.openxmlformats.org/drawingml/2006/picture">
            <wp:extent cx="3840480" cy="2751746"/>
            <wp:docPr id="24" name="Picture 24"/>
            <wp:cNvGraphicFramePr>
              <a:graphicFrameLocks noChangeAspect="1"/>
            </wp:cNvGraphicFramePr>
            <a:graphic>
              <a:graphicData uri="http://schemas.openxmlformats.org/drawingml/2006/picture">
                <pic:pic>
                  <pic:nvPicPr>
                    <pic:cNvPr id="0" name="Microbiology_Exam_2_micro-exam-2-study-guide-images_l10-s28-tetani-terminal-spores.jpg"/>
                    <pic:cNvPicPr/>
                  </pic:nvPicPr>
                  <pic:blipFill>
                    <a:blip r:embed="rId32"/>
                    <a:stretch>
                      <a:fillRect/>
                    </a:stretch>
                  </pic:blipFill>
                  <pic:spPr>
                    <a:xfrm>
                      <a:off x="0" y="0"/>
                      <a:ext cx="3840480" cy="2751746"/>
                    </a:xfrm>
                    <a:prstGeom prst="rect"/>
                  </pic:spPr>
                </pic:pic>
              </a:graphicData>
            </a:graphic>
          </wp:inline>
        </w:drawing>
      </w:r>
    </w:p>
    <w:p>
      <w:pPr>
        <w:spacing w:after="160"/>
        <w:jc w:val="center"/>
      </w:pPr>
      <w:r>
        <w:rPr>
          <w:sz w:val="15"/>
        </w:rPr>
        <w:t>Terminal spores, the Clostridium pattern. Clostridium tetani : the spore swells one end of the rod (the drumstick, or “tennis racket”). Compare the central spore above. Copyright © The McGraw-Hill Companies. Source: Lecture 9 Dr. Webster Gram positive Bacilli.pptx, Slide 28.</w:t>
      </w:r>
    </w:p>
    <w:p>
      <w:pPr>
        <w:spacing w:after="120"/>
      </w:pPr>
      <w:r>
        <w:rPr>
          <w:b/>
          <w:i w:val="0"/>
        </w:rPr>
        <w:t>Regular</w:t>
      </w:r>
      <w:r>
        <w:rPr>
          <w:b w:val="0"/>
          <w:i w:val="0"/>
        </w:rPr>
        <w:t xml:space="preserve"> non-spore-forming rods stain uniformly and do not assume pleomorphic shapes (</w:t>
      </w:r>
      <w:r>
        <w:rPr>
          <w:b w:val="0"/>
          <w:i/>
        </w:rPr>
        <w:t>Lactobacillus</w:t>
      </w:r>
      <w:r>
        <w:rPr>
          <w:b w:val="0"/>
          <w:i w:val="0"/>
        </w:rPr>
        <w:t xml:space="preserve">, </w:t>
      </w:r>
      <w:r>
        <w:rPr>
          <w:b w:val="0"/>
          <w:i/>
        </w:rPr>
        <w:t>Listeria monocytogenes</w:t>
      </w:r>
      <w:r>
        <w:rPr>
          <w:b w:val="0"/>
          <w:i w:val="0"/>
        </w:rPr>
        <w:t xml:space="preserve">, </w:t>
      </w:r>
      <w:r>
        <w:rPr>
          <w:b w:val="0"/>
          <w:i/>
        </w:rPr>
        <w:t>Erysipelothrix rhusiopathiae</w:t>
      </w:r>
      <w:r>
        <w:rPr>
          <w:b w:val="0"/>
          <w:i w:val="0"/>
        </w:rPr>
        <w:t xml:space="preserve">). </w:t>
      </w:r>
      <w:r>
        <w:rPr>
          <w:b/>
          <w:i w:val="0"/>
        </w:rPr>
        <w:t>Irregular</w:t>
      </w:r>
      <w:r>
        <w:rPr>
          <w:b w:val="0"/>
          <w:i w:val="0"/>
        </w:rPr>
        <w:t xml:space="preserve"> ones are pleomorphic and stain unevenly; the deck says all produce catalase and their cell walls have mycolic acids and a unique peptidoglycan (</w:t>
      </w:r>
      <w:r>
        <w:rPr>
          <w:b w:val="0"/>
          <w:i/>
        </w:rPr>
        <w:t>Corynebacterium</w:t>
      </w:r>
      <w:r>
        <w:rPr>
          <w:b w:val="0"/>
          <w:i w:val="0"/>
        </w:rPr>
        <w:t xml:space="preserve">, </w:t>
      </w:r>
      <w:r>
        <w:rPr>
          <w:b w:val="0"/>
          <w:i/>
        </w:rPr>
        <w:t>Propionibacterium</w:t>
      </w:r>
      <w:r>
        <w:rPr>
          <w:b w:val="0"/>
          <w:i w:val="0"/>
        </w:rPr>
        <w:t>/</w:t>
      </w:r>
      <w:r>
        <w:rPr>
          <w:b w:val="0"/>
          <w:i/>
        </w:rPr>
        <w:t>Cutibacterium</w:t>
      </w:r>
      <w:r>
        <w:rPr>
          <w:b w:val="0"/>
          <w:i w:val="0"/>
        </w:rPr>
        <w:t xml:space="preserve">, </w:t>
      </w:r>
      <w:r>
        <w:rPr>
          <w:b w:val="0"/>
          <w:i/>
        </w:rPr>
        <w:t>Mycobacterium</w:t>
      </w:r>
      <w:r>
        <w:rPr>
          <w:b w:val="0"/>
          <w:i w:val="0"/>
        </w:rPr>
        <w:t xml:space="preserve">, </w:t>
      </w:r>
      <w:r>
        <w:rPr>
          <w:b w:val="0"/>
          <w:i/>
        </w:rPr>
        <w:t>Actinomyces</w:t>
      </w:r>
      <w:r>
        <w:rPr>
          <w:b w:val="0"/>
          <w:i w:val="0"/>
        </w:rPr>
        <w:t xml:space="preserve">, </w:t>
      </w:r>
      <w:r>
        <w:rPr>
          <w:b w:val="0"/>
          <w:i/>
        </w:rPr>
        <w:t>Nocardia</w:t>
      </w:r>
      <w:r>
        <w:rPr>
          <w:b w:val="0"/>
          <w:i w:val="0"/>
        </w:rPr>
        <w:t xml:space="preserve">) — see 10.15 for the exceptions. </w:t>
      </w:r>
      <w:r>
        <w:rPr>
          <w:b/>
          <w:i w:val="0"/>
        </w:rPr>
        <w:t>Corynebacterium and Mycobacterium share mycolic acids</w:t>
      </w:r>
      <w:r>
        <w:rPr>
          <w:b w:val="0"/>
          <w:i w:val="0"/>
        </w:rPr>
        <w:t xml:space="preserve"> in the wall.</w:t>
      </w:r>
    </w:p>
    <w:p>
      <w:pPr>
        <w:pStyle w:val="Heading2"/>
        <w:spacing w:before="200" w:after="100"/>
      </w:pPr>
      <w:r>
        <w:rPr>
          <w:rFonts w:ascii="Georgia" w:hAnsi="Georgia"/>
          <w:color w:val="1F4D2B"/>
        </w:rPr>
        <w:t>10.2 · Objective 1 — Bacillus anthracis and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anthracis</w:t>
            </w:r>
          </w:p>
        </w:tc>
      </w:tr>
      <w:tr>
        <w:tc>
          <w:tcPr>
            <w:tcW w:type="dxa" w:w="5112"/>
          </w:tcPr>
          <w:p>
            <w:pPr>
              <w:spacing w:after="40"/>
            </w:pPr>
            <w:r>
              <w:rPr>
                <w:sz w:val="18"/>
              </w:rPr>
            </w:r>
            <w:r>
              <w:rPr>
                <w:b w:val="0"/>
                <w:i w:val="0"/>
                <w:sz w:val="18"/>
              </w:rPr>
              <w:t>Significance</w:t>
            </w:r>
          </w:p>
        </w:tc>
        <w:tc>
          <w:tcPr>
            <w:tcW w:type="dxa" w:w="5112"/>
          </w:tcPr>
          <w:p>
            <w:pPr>
              <w:spacing w:after="40"/>
            </w:pPr>
            <w:r>
              <w:rPr>
                <w:sz w:val="18"/>
              </w:rPr>
            </w:r>
            <w:r>
              <w:rPr>
                <w:b w:val="0"/>
                <w:i w:val="0"/>
                <w:sz w:val="18"/>
              </w:rPr>
              <w:t xml:space="preserve">The organism with which </w:t>
            </w:r>
            <w:r>
              <w:rPr>
                <w:b/>
                <w:i w:val="0"/>
                <w:sz w:val="18"/>
              </w:rPr>
              <w:t>Koch’s postulates</w:t>
            </w:r>
            <w:r>
              <w:rPr>
                <w:b w:val="0"/>
                <w:i w:val="0"/>
                <w:sz w:val="18"/>
              </w:rPr>
              <w:t xml:space="preserve"> were established (isolate it from every case, grow it in pure culture, reproduce the disease, re-isolate it)</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Large, block-shaped rods</w:t>
            </w:r>
            <w:r>
              <w:rPr>
                <w:b w:val="0"/>
                <w:i w:val="0"/>
                <w:sz w:val="18"/>
              </w:rPr>
              <w:t xml:space="preserve"> in chains, with </w:t>
            </w:r>
            <w:r>
              <w:rPr>
                <w:b/>
                <w:i w:val="0"/>
                <w:sz w:val="18"/>
              </w:rPr>
              <w:t>central spores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w:t>
            </w:r>
          </w:p>
        </w:tc>
      </w:tr>
      <w:tr>
        <w:tc>
          <w:tcPr>
            <w:tcW w:type="dxa" w:w="5112"/>
          </w:tcPr>
          <w:p>
            <w:pPr>
              <w:spacing w:after="40"/>
            </w:pPr>
            <w:r>
              <w:rPr>
                <w:sz w:val="18"/>
              </w:rPr>
            </w:r>
            <w:r>
              <w:rPr>
                <w:b w:val="0"/>
                <w:i w:val="0"/>
                <w:sz w:val="18"/>
              </w:rPr>
              <w:t>Why it worries us</w:t>
            </w:r>
          </w:p>
        </w:tc>
        <w:tc>
          <w:tcPr>
            <w:tcW w:type="dxa" w:w="5112"/>
          </w:tcPr>
          <w:p>
            <w:pPr>
              <w:spacing w:after="40"/>
            </w:pPr>
            <w:r>
              <w:rPr>
                <w:sz w:val="18"/>
              </w:rPr>
            </w:r>
            <w:r>
              <w:rPr>
                <w:b/>
                <w:i w:val="0"/>
                <w:sz w:val="18"/>
              </w:rPr>
              <w:t>Category A priority pathogen — a potential weapon of bioterrorism</w:t>
            </w:r>
            <w:r>
              <w:rPr>
                <w:b w:val="0"/>
                <w:i w:val="0"/>
                <w:sz w:val="18"/>
              </w:rPr>
              <w:t>; an accidental release from a Soviet bioweapon facility in 1979 was highly fatal</w:t>
            </w:r>
          </w:p>
        </w:tc>
      </w:tr>
      <w:tr>
        <w:tc>
          <w:tcPr>
            <w:tcW w:type="dxa" w:w="5112"/>
          </w:tcPr>
          <w:p>
            <w:pPr>
              <w:spacing w:after="40"/>
            </w:pPr>
            <w:r>
              <w:rPr>
                <w:sz w:val="18"/>
              </w:rPr>
            </w:r>
            <w:r>
              <w:rPr>
                <w:b w:val="0"/>
                <w:i w:val="0"/>
                <w:sz w:val="18"/>
              </w:rPr>
              <w:t>Virulence: capsule</w:t>
            </w:r>
          </w:p>
        </w:tc>
        <w:tc>
          <w:tcPr>
            <w:tcW w:type="dxa" w:w="5112"/>
          </w:tcPr>
          <w:p>
            <w:pPr>
              <w:spacing w:after="40"/>
            </w:pPr>
            <w:r>
              <w:rPr>
                <w:sz w:val="18"/>
              </w:rPr>
            </w:r>
            <w:r>
              <w:rPr>
                <w:b w:val="0"/>
                <w:i w:val="0"/>
                <w:sz w:val="18"/>
              </w:rPr>
              <w:t xml:space="preserve">A </w:t>
            </w:r>
            <w:r>
              <w:rPr>
                <w:b/>
                <w:i w:val="0"/>
                <w:sz w:val="18"/>
              </w:rPr>
              <w:t>polypeptide capsule</w:t>
            </w:r>
            <w:r>
              <w:rPr>
                <w:b w:val="0"/>
                <w:i w:val="0"/>
                <w:sz w:val="18"/>
              </w:rPr>
              <w:t xml:space="preserve"> that makes the cell hard for phagocytes to engulf</w:t>
            </w:r>
          </w:p>
        </w:tc>
      </w:tr>
      <w:tr>
        <w:tc>
          <w:tcPr>
            <w:tcW w:type="dxa" w:w="5112"/>
          </w:tcPr>
          <w:p>
            <w:pPr>
              <w:spacing w:after="40"/>
            </w:pPr>
            <w:r>
              <w:rPr>
                <w:sz w:val="18"/>
              </w:rPr>
            </w:r>
            <w:r>
              <w:rPr>
                <w:b w:val="0"/>
                <w:i w:val="0"/>
                <w:sz w:val="18"/>
              </w:rPr>
              <w:t>Virulence: the three-part exotoxin</w:t>
            </w:r>
          </w:p>
        </w:tc>
        <w:tc>
          <w:tcPr>
            <w:tcW w:type="dxa" w:w="5112"/>
          </w:tcPr>
          <w:p>
            <w:pPr>
              <w:spacing w:after="40"/>
            </w:pPr>
            <w:r>
              <w:rPr>
                <w:sz w:val="18"/>
              </w:rPr>
            </w:r>
            <w:r>
              <w:rPr>
                <w:b/>
                <w:i w:val="0"/>
                <w:sz w:val="18"/>
              </w:rPr>
              <w:t>Protective antigen</w:t>
            </w:r>
            <w:r>
              <w:rPr>
                <w:b w:val="0"/>
                <w:i w:val="0"/>
                <w:sz w:val="18"/>
              </w:rPr>
              <w:t xml:space="preserve"> binds host cells and creates a </w:t>
            </w:r>
            <w:r>
              <w:rPr>
                <w:b/>
                <w:i w:val="0"/>
                <w:sz w:val="18"/>
              </w:rPr>
              <w:t>receptor site for the other two components</w:t>
            </w:r>
            <w:r>
              <w:rPr>
                <w:b w:val="0"/>
                <w:i w:val="0"/>
                <w:sz w:val="18"/>
              </w:rPr>
              <w:t xml:space="preserve">. </w:t>
            </w:r>
            <w:r>
              <w:rPr>
                <w:b/>
                <w:i w:val="0"/>
                <w:sz w:val="18"/>
              </w:rPr>
              <w:t>Edema factor</w:t>
            </w:r>
            <w:r>
              <w:rPr>
                <w:b w:val="0"/>
                <w:i w:val="0"/>
                <w:sz w:val="18"/>
              </w:rPr>
              <w:t xml:space="preserve"> impairs phagocytosis and inhibits tumor necrosis factor and interleukin 6 production by monocytes. </w:t>
            </w:r>
            <w:r>
              <w:rPr>
                <w:b/>
                <w:i w:val="0"/>
                <w:sz w:val="18"/>
              </w:rPr>
              <w:t>Lethal factor</w:t>
            </w:r>
            <w:r>
              <w:rPr>
                <w:b w:val="0"/>
                <w:i w:val="0"/>
                <w:sz w:val="18"/>
              </w:rPr>
              <w:t xml:space="preserve">: at low levels it inhibits release of interleukin 1 and tumor necrosis factor alpha, damping the immune response; at </w:t>
            </w:r>
            <w:r>
              <w:rPr>
                <w:b/>
                <w:i w:val="0"/>
                <w:sz w:val="18"/>
              </w:rPr>
              <w:t>high levels it lyses macrophages</w:t>
            </w:r>
            <w:r>
              <w:rPr>
                <w:b w:val="0"/>
                <w:i w:val="0"/>
                <w:sz w:val="18"/>
              </w:rPr>
              <w:t xml:space="preserve">, releasing high levels of interleukin 1, tumor necrosis factor alpha and nitric oxide. </w:t>
            </w:r>
            <w:r>
              <w:rPr>
                <w:b/>
                <w:i w:val="0"/>
                <w:sz w:val="18"/>
              </w:rPr>
              <w:t>Excessive release of these cytokines can trigger a massive inflammatory response and the shock cascade, like septic shock.</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highlight w:val="yellow"/>
              </w:rPr>
              <w:t xml:space="preserve"> — the most common form</w:t>
            </w:r>
            <w:r>
              <w:rPr>
                <w:b w:val="0"/>
                <w:i w:val="0"/>
                <w:sz w:val="18"/>
              </w:rPr>
              <w:t xml:space="preserve"> (about 95% of human cases)</w:t>
            </w:r>
          </w:p>
        </w:tc>
        <w:tc>
          <w:tcPr>
            <w:tcW w:type="dxa" w:w="3408"/>
          </w:tcPr>
          <w:p>
            <w:pPr>
              <w:spacing w:after="40"/>
            </w:pPr>
            <w:r>
              <w:rPr>
                <w:sz w:val="18"/>
              </w:rPr>
            </w:r>
            <w:r>
              <w:rPr>
                <w:b w:val="0"/>
                <w:i w:val="0"/>
                <w:sz w:val="18"/>
              </w:rPr>
              <w:t xml:space="preserve">Spores enter through </w:t>
            </w:r>
            <w:r>
              <w:rPr>
                <w:b/>
                <w:i w:val="0"/>
                <w:sz w:val="18"/>
              </w:rPr>
              <w:t>cuts or incisions in the skin</w:t>
            </w:r>
            <w:r>
              <w:rPr>
                <w:b w:val="0"/>
                <w:i w:val="0"/>
                <w:sz w:val="18"/>
              </w:rPr>
              <w:t>, germinate in the tissue and grow</w:t>
            </w:r>
          </w:p>
        </w:tc>
        <w:tc>
          <w:tcPr>
            <w:tcW w:type="dxa" w:w="3408"/>
          </w:tcPr>
          <w:p>
            <w:pPr>
              <w:spacing w:after="40"/>
            </w:pPr>
            <w:r>
              <w:rPr>
                <w:sz w:val="18"/>
              </w:rPr>
            </w:r>
            <w:r>
              <w:rPr>
                <w:b w:val="0"/>
                <w:i w:val="0"/>
                <w:sz w:val="18"/>
              </w:rPr>
              <w:t xml:space="preserve">A </w:t>
            </w:r>
            <w:r>
              <w:rPr>
                <w:b/>
                <w:i w:val="0"/>
                <w:sz w:val="18"/>
              </w:rPr>
              <w:t>painless papule</w:t>
            </w:r>
            <w:r>
              <w:rPr>
                <w:b w:val="0"/>
                <w:i w:val="0"/>
                <w:sz w:val="18"/>
              </w:rPr>
              <w:t xml:space="preserve"> that rapidly becomes an </w:t>
            </w:r>
            <w:r>
              <w:rPr>
                <w:b/>
                <w:i w:val="0"/>
                <w:sz w:val="18"/>
              </w:rPr>
              <w:t>ulcer surrounded by vesicles</w:t>
            </w:r>
            <w:r>
              <w:rPr>
                <w:b w:val="0"/>
                <w:i w:val="0"/>
                <w:sz w:val="18"/>
              </w:rPr>
              <w:t xml:space="preserve"> and finally a </w:t>
            </w:r>
            <w:r>
              <w:rPr>
                <w:b/>
                <w:i w:val="0"/>
                <w:sz w:val="18"/>
              </w:rPr>
              <w:t>black necrotic eschar</w:t>
            </w:r>
          </w:p>
        </w:tc>
      </w:tr>
      <w:tr>
        <w:tc>
          <w:tcPr>
            <w:tcW w:type="dxa" w:w="3408"/>
          </w:tcPr>
          <w:p>
            <w:pPr>
              <w:spacing w:after="40"/>
            </w:pPr>
            <w:r>
              <w:rPr>
                <w:sz w:val="18"/>
              </w:rPr>
            </w:r>
            <w:r>
              <w:rPr>
                <w:b w:val="0"/>
                <w:i w:val="0"/>
                <w:sz w:val="18"/>
              </w:rPr>
              <w:t>Injection</w:t>
            </w:r>
          </w:p>
        </w:tc>
        <w:tc>
          <w:tcPr>
            <w:tcW w:type="dxa" w:w="3408"/>
          </w:tcPr>
          <w:p>
            <w:pPr>
              <w:spacing w:after="40"/>
            </w:pPr>
            <w:r>
              <w:rPr>
                <w:sz w:val="18"/>
              </w:rPr>
            </w:r>
            <w:r>
              <w:rPr>
                <w:b w:val="0"/>
                <w:i w:val="0"/>
                <w:sz w:val="18"/>
              </w:rPr>
              <w:t>Injecting contaminated heroin; identified in addicts in northern Europe, not yet in the United States</w:t>
            </w:r>
          </w:p>
        </w:tc>
        <w:tc>
          <w:tcPr>
            <w:tcW w:type="dxa" w:w="3408"/>
          </w:tcPr>
          <w:p>
            <w:pPr>
              <w:spacing w:after="40"/>
            </w:pPr>
            <w:r>
              <w:rPr>
                <w:sz w:val="18"/>
              </w:rPr>
            </w:r>
            <w:r>
              <w:rPr>
                <w:b w:val="0"/>
                <w:i w:val="0"/>
                <w:sz w:val="18"/>
              </w:rPr>
              <w:t xml:space="preserve">Like cutaneous anthrax, but the infection is </w:t>
            </w:r>
            <w:r>
              <w:rPr>
                <w:b/>
                <w:i w:val="0"/>
                <w:sz w:val="18"/>
              </w:rPr>
              <w:t>in the deep muscle where the drug was injected</w:t>
            </w:r>
            <w:r>
              <w:rPr>
                <w:b w:val="0"/>
                <w:i w:val="0"/>
                <w:sz w:val="18"/>
              </w:rPr>
              <w:t>, so it spreads faster and is harder to recognize and treat</w:t>
            </w:r>
          </w:p>
        </w:tc>
      </w:tr>
      <w:tr>
        <w:tc>
          <w:tcPr>
            <w:tcW w:type="dxa" w:w="3408"/>
          </w:tcPr>
          <w:p>
            <w:pPr>
              <w:spacing w:after="40"/>
            </w:pPr>
            <w:r>
              <w:rPr>
                <w:sz w:val="18"/>
              </w:rPr>
            </w:r>
            <w:r>
              <w:rPr>
                <w:b/>
                <w:i w:val="0"/>
                <w:sz w:val="18"/>
                <w:highlight w:val="yellow"/>
              </w:rPr>
              <w:t>Pulmonary</w:t>
            </w:r>
            <w:r>
              <w:rPr>
                <w:b w:val="0"/>
                <w:i w:val="0"/>
                <w:sz w:val="18"/>
                <w:highlight w:val="yellow"/>
              </w:rPr>
              <w:t xml:space="preserve"> (woolsorters’ disease) — the most deadly form</w:t>
            </w:r>
          </w:p>
        </w:tc>
        <w:tc>
          <w:tcPr>
            <w:tcW w:type="dxa" w:w="3408"/>
          </w:tcPr>
          <w:p>
            <w:pPr>
              <w:spacing w:after="40"/>
            </w:pPr>
            <w:r>
              <w:rPr>
                <w:sz w:val="18"/>
              </w:rPr>
            </w:r>
            <w:r>
              <w:rPr>
                <w:b/>
                <w:i w:val="0"/>
                <w:sz w:val="18"/>
              </w:rPr>
              <w:t>Inhaling spores</w:t>
            </w:r>
            <w:r>
              <w:rPr>
                <w:b w:val="0"/>
                <w:i w:val="0"/>
                <w:sz w:val="18"/>
              </w:rPr>
              <w:t xml:space="preserve"> from infected animal products (wool of infected sheep) or soil</w:t>
            </w:r>
          </w:p>
        </w:tc>
        <w:tc>
          <w:tcPr>
            <w:tcW w:type="dxa" w:w="3408"/>
          </w:tcPr>
          <w:p>
            <w:pPr>
              <w:spacing w:after="40"/>
            </w:pPr>
            <w:r>
              <w:rPr>
                <w:sz w:val="18"/>
              </w:rPr>
            </w:r>
            <w:r>
              <w:rPr>
                <w:b w:val="0"/>
                <w:i w:val="0"/>
                <w:sz w:val="18"/>
              </w:rPr>
              <w:t xml:space="preserve">May be latent for two months or more. Alveolar macrophages engulf the spores and the </w:t>
            </w:r>
            <w:r>
              <w:rPr>
                <w:b/>
                <w:i w:val="0"/>
                <w:sz w:val="18"/>
              </w:rPr>
              <w:t>exotoxins kill the macrophages en masse</w:t>
            </w:r>
            <w:r>
              <w:rPr>
                <w:b w:val="0"/>
                <w:i w:val="0"/>
                <w:sz w:val="18"/>
              </w:rPr>
              <w:t>: cough, headache, fever, chills, vomiting, chest and abdominal pain, then worsening fever, edema, capillary thrombosis and cardiovascular shock; about half develop meningitis. Untreated, nearly always fatal within about three days of symptoms</w:t>
            </w:r>
          </w:p>
        </w:tc>
      </w:tr>
      <w:tr>
        <w:tc>
          <w:tcPr>
            <w:tcW w:type="dxa" w:w="3408"/>
          </w:tcPr>
          <w:p>
            <w:pPr>
              <w:spacing w:after="40"/>
            </w:pPr>
            <w:r>
              <w:rPr>
                <w:sz w:val="18"/>
              </w:rPr>
            </w:r>
            <w:r>
              <w:rPr>
                <w:b w:val="0"/>
                <w:i w:val="0"/>
                <w:sz w:val="18"/>
              </w:rPr>
              <w:t>Gastrointestinal</w:t>
            </w:r>
          </w:p>
        </w:tc>
        <w:tc>
          <w:tcPr>
            <w:tcW w:type="dxa" w:w="3408"/>
          </w:tcPr>
          <w:p>
            <w:pPr>
              <w:spacing w:after="40"/>
            </w:pPr>
            <w:r>
              <w:rPr>
                <w:sz w:val="18"/>
              </w:rPr>
            </w:r>
            <w:r>
              <w:rPr>
                <w:b/>
                <w:i w:val="0"/>
                <w:sz w:val="18"/>
              </w:rPr>
              <w:t>Eating meat from an infected animal</w:t>
            </w:r>
          </w:p>
        </w:tc>
        <w:tc>
          <w:tcPr>
            <w:tcW w:type="dxa" w:w="3408"/>
          </w:tcPr>
          <w:p>
            <w:pPr>
              <w:spacing w:after="40"/>
            </w:pPr>
            <w:r>
              <w:rPr>
                <w:sz w:val="18"/>
              </w:rPr>
            </w:r>
            <w:r>
              <w:rPr>
                <w:b w:val="0"/>
                <w:i w:val="0"/>
                <w:sz w:val="18"/>
              </w:rPr>
              <w:t>Ulcers of the mouth and esophagus, localized lymphadenopathy; nausea, vomiting and malaise if the upper intestine is invaded; sepsis if the large intestine is invaded</w:t>
            </w:r>
          </w:p>
        </w:tc>
      </w:tr>
      <w:tr>
        <w:tc>
          <w:tcPr>
            <w:tcW w:type="dxa" w:w="3408"/>
          </w:tcPr>
          <w:p>
            <w:pPr>
              <w:spacing w:after="40"/>
            </w:pPr>
            <w:r>
              <w:rPr>
                <w:sz w:val="18"/>
              </w:rPr>
            </w:r>
            <w:r>
              <w:rPr>
                <w:b w:val="0"/>
                <w:i w:val="0"/>
                <w:sz w:val="18"/>
              </w:rPr>
              <w:t>Meningitis</w:t>
            </w:r>
          </w:p>
        </w:tc>
        <w:tc>
          <w:tcPr>
            <w:tcW w:type="dxa" w:w="3408"/>
          </w:tcPr>
          <w:p>
            <w:pPr>
              <w:spacing w:after="40"/>
            </w:pPr>
            <w:r>
              <w:rPr>
                <w:sz w:val="18"/>
              </w:rPr>
            </w:r>
            <w:r>
              <w:rPr>
                <w:b w:val="0"/>
                <w:i w:val="0"/>
                <w:sz w:val="18"/>
              </w:rPr>
              <w:t xml:space="preserve">A complication of </w:t>
            </w:r>
            <w:r>
              <w:rPr>
                <w:b/>
                <w:i w:val="0"/>
                <w:sz w:val="18"/>
              </w:rPr>
              <w:t>any</w:t>
            </w:r>
            <w:r>
              <w:rPr>
                <w:b w:val="0"/>
                <w:i w:val="0"/>
                <w:sz w:val="18"/>
              </w:rPr>
              <w:t xml:space="preserve"> form; up to half of pulmonary cases</w:t>
            </w:r>
          </w:p>
        </w:tc>
        <w:tc>
          <w:tcPr>
            <w:tcW w:type="dxa" w:w="3408"/>
          </w:tcPr>
          <w:p>
            <w:pPr>
              <w:spacing w:after="40"/>
            </w:pPr>
            <w:r>
              <w:rPr>
                <w:sz w:val="18"/>
              </w:rPr>
            </w:r>
            <w:r>
              <w:rPr>
                <w:b w:val="0"/>
                <w:i w:val="0"/>
                <w:sz w:val="18"/>
              </w:rPr>
              <w:t>Typical meningitis: altered mental status, headache, fever, nausea and vomiting, seizures</w:t>
            </w:r>
          </w:p>
        </w:tc>
      </w:tr>
    </w:tbl>
    <w:p>
      <w:pPr>
        <w:spacing w:after="80"/>
      </w:pPr>
    </w:p>
    <w:p>
      <w:pPr>
        <w:jc w:val="center"/>
      </w:pPr>
      <w:r>
        <w:drawing>
          <wp:inline xmlns:a="http://schemas.openxmlformats.org/drawingml/2006/main" xmlns:pic="http://schemas.openxmlformats.org/drawingml/2006/picture">
            <wp:extent cx="3840480" cy="2837468"/>
            <wp:docPr id="25" name="Picture 25"/>
            <wp:cNvGraphicFramePr>
              <a:graphicFrameLocks noChangeAspect="1"/>
            </wp:cNvGraphicFramePr>
            <a:graphic>
              <a:graphicData uri="http://schemas.openxmlformats.org/drawingml/2006/picture">
                <pic:pic>
                  <pic:nvPicPr>
                    <pic:cNvPr id="0" name="Microbiology_Exam_2_micro-exam-2-study-guide-images_l10-s11-cutaneous-anthrax-eschar.jpg"/>
                    <pic:cNvPicPr/>
                  </pic:nvPicPr>
                  <pic:blipFill>
                    <a:blip r:embed="rId33"/>
                    <a:stretch>
                      <a:fillRect/>
                    </a:stretch>
                  </pic:blipFill>
                  <pic:spPr>
                    <a:xfrm>
                      <a:off x="0" y="0"/>
                      <a:ext cx="3840480" cy="2837468"/>
                    </a:xfrm>
                    <a:prstGeom prst="rect"/>
                  </pic:spPr>
                </pic:pic>
              </a:graphicData>
            </a:graphic>
          </wp:inline>
        </w:drawing>
      </w:r>
    </w:p>
    <w:p>
      <w:pPr>
        <w:spacing w:after="160"/>
        <w:jc w:val="center"/>
      </w:pPr>
      <w:r>
        <w:rPr>
          <w:sz w:val="15"/>
        </w:rPr>
        <w:t>The eschar. Cutaneous anthrax at its end stage: the black necrotic crust over swollen, inflamed skin, which began as a painless papule at a cut. Source: Lecture 9 Dr. Webster Gram positive Bacilli.pptx, Slide 11.</w:t>
      </w:r>
    </w:p>
    <w:p>
      <w:pPr>
        <w:spacing w:after="120"/>
      </w:pPr>
      <w:r>
        <w:rPr>
          <w:b/>
          <w:i w:val="0"/>
        </w:rPr>
        <w:t>Treatment and prevention.</w:t>
      </w:r>
      <w:r>
        <w:rPr>
          <w:b w:val="0"/>
          <w:i w:val="0"/>
        </w:rPr>
        <w:t xml:space="preserve"> Treated with antibiotics; </w:t>
      </w:r>
      <w:r>
        <w:rPr>
          <w:b/>
          <w:i w:val="0"/>
        </w:rPr>
        <w:t>pulmonary anthrax is also treated with antitoxin</w:t>
      </w:r>
      <w:r>
        <w:rPr>
          <w:b w:val="0"/>
          <w:i w:val="0"/>
        </w:rPr>
        <w:t xml:space="preserve"> to neutralize the toxins. Livestock are protected with live spores and toxoid. The human vaccine, </w:t>
      </w:r>
      <w:r>
        <w:rPr>
          <w:b/>
          <w:i w:val="0"/>
        </w:rPr>
        <w:t>Biothrax, is a purified toxoid</w:t>
      </w:r>
      <w:r>
        <w:rPr>
          <w:b w:val="0"/>
          <w:i w:val="0"/>
        </w:rPr>
        <w:t xml:space="preserve"> given to </w:t>
      </w:r>
      <w:r>
        <w:rPr>
          <w:b/>
          <w:i w:val="0"/>
        </w:rPr>
        <w:t>high-risk occupations and military personnel</w:t>
      </w:r>
      <w:r>
        <w:rPr>
          <w:b w:val="0"/>
          <w:i w:val="0"/>
        </w:rPr>
        <w:t>, not to anyone under 18 or over 65; a primary series with annual boosters, and a three-dose series with antibiotics after exposure. Its side effects have prompted research into alternative vaccines (see 10.15).</w:t>
      </w:r>
    </w:p>
    <w:p>
      <w:pPr>
        <w:pStyle w:val="Heading2"/>
        <w:spacing w:before="200" w:after="100"/>
      </w:pPr>
      <w:r>
        <w:rPr>
          <w:rFonts w:ascii="Georgia" w:hAnsi="Georgia"/>
          <w:color w:val="1F4D2B"/>
        </w:rPr>
        <w:t>10.3 · Objective 1 — Bacillus cereus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cereus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i w:val="0"/>
                <w:sz w:val="18"/>
              </w:rPr>
              <w:t>Most commonly a foodborne illness</w:t>
            </w:r>
            <w:r>
              <w:rPr>
                <w:b w:val="0"/>
                <w:i w:val="0"/>
                <w:sz w:val="18"/>
              </w:rPr>
              <w:t>; spores are very commonly airborne and dustborne</w:t>
            </w:r>
          </w:p>
        </w:tc>
      </w:tr>
      <w:tr>
        <w:tc>
          <w:tcPr>
            <w:tcW w:type="dxa" w:w="5112"/>
          </w:tcPr>
          <w:p>
            <w:pPr>
              <w:spacing w:after="40"/>
            </w:pPr>
            <w:r>
              <w:rPr>
                <w:sz w:val="18"/>
              </w:rPr>
            </w:r>
            <w:r>
              <w:rPr>
                <w:b w:val="0"/>
                <w:i w:val="0"/>
                <w:sz w:val="18"/>
              </w:rPr>
              <w:t>Foods</w:t>
            </w:r>
          </w:p>
        </w:tc>
        <w:tc>
          <w:tcPr>
            <w:tcW w:type="dxa" w:w="5112"/>
          </w:tcPr>
          <w:p>
            <w:pPr>
              <w:spacing w:after="40"/>
            </w:pPr>
            <w:r>
              <w:rPr>
                <w:sz w:val="18"/>
              </w:rPr>
            </w:r>
            <w:r>
              <w:rPr>
                <w:b w:val="0"/>
                <w:i w:val="0"/>
                <w:sz w:val="18"/>
              </w:rPr>
              <w:t xml:space="preserve">Grows in rice, potatoes and meat; </w:t>
            </w:r>
            <w:r>
              <w:rPr>
                <w:b/>
                <w:i w:val="0"/>
                <w:sz w:val="18"/>
              </w:rPr>
              <w:t>the spores survive cooking and reheating</w:t>
            </w:r>
            <w:r>
              <w:rPr>
                <w:b w:val="0"/>
                <w:i w:val="0"/>
                <w:sz w:val="18"/>
              </w:rPr>
              <w:t xml:space="preserve"> (the risk is cooked food left out before refrigerating)</w:t>
            </w:r>
          </w:p>
        </w:tc>
      </w:tr>
      <w:tr>
        <w:tc>
          <w:tcPr>
            <w:tcW w:type="dxa" w:w="5112"/>
          </w:tcPr>
          <w:p>
            <w:pPr>
              <w:spacing w:after="40"/>
            </w:pPr>
            <w:r>
              <w:rPr>
                <w:sz w:val="18"/>
              </w:rPr>
            </w:r>
            <w:r>
              <w:rPr>
                <w:b w:val="0"/>
                <w:i w:val="0"/>
                <w:sz w:val="18"/>
              </w:rPr>
              <w:t>Toxins</w:t>
            </w:r>
          </w:p>
        </w:tc>
        <w:tc>
          <w:tcPr>
            <w:tcW w:type="dxa" w:w="5112"/>
          </w:tcPr>
          <w:p>
            <w:pPr>
              <w:spacing w:after="40"/>
            </w:pPr>
            <w:r>
              <w:rPr>
                <w:sz w:val="18"/>
              </w:rPr>
            </w:r>
            <w:r>
              <w:rPr>
                <w:b w:val="0"/>
                <w:i w:val="0"/>
                <w:sz w:val="18"/>
              </w:rPr>
              <w:t xml:space="preserve">Symptoms are due to exotoxin. </w:t>
            </w:r>
            <w:r>
              <w:rPr>
                <w:b/>
                <w:i w:val="0"/>
                <w:sz w:val="18"/>
              </w:rPr>
              <w:t>Diarrheal form: a large molecular weight protein. Emetic (vomiting) form: a low molecular weight, heat-stable peptide.</w:t>
            </w:r>
          </w:p>
        </w:tc>
      </w:tr>
      <w:tr>
        <w:tc>
          <w:tcPr>
            <w:tcW w:type="dxa" w:w="5112"/>
          </w:tcPr>
          <w:p>
            <w:pPr>
              <w:spacing w:after="40"/>
            </w:pPr>
            <w:r>
              <w:rPr>
                <w:sz w:val="18"/>
              </w:rPr>
            </w:r>
            <w:r>
              <w:rPr>
                <w:b w:val="0"/>
                <w:i w:val="0"/>
                <w:sz w:val="18"/>
              </w:rPr>
              <w:t>Course and treatment</w:t>
            </w:r>
          </w:p>
        </w:tc>
        <w:tc>
          <w:tcPr>
            <w:tcW w:type="dxa" w:w="5112"/>
          </w:tcPr>
          <w:p>
            <w:pPr>
              <w:spacing w:after="40"/>
            </w:pPr>
            <w:r>
              <w:rPr>
                <w:sz w:val="18"/>
              </w:rPr>
            </w:r>
            <w:r>
              <w:rPr>
                <w:b w:val="0"/>
                <w:i w:val="0"/>
                <w:sz w:val="18"/>
              </w:rPr>
              <w:t xml:space="preserve">About </w:t>
            </w:r>
            <w:r>
              <w:rPr>
                <w:b/>
                <w:i w:val="0"/>
                <w:sz w:val="18"/>
              </w:rPr>
              <w:t>24 hours</w:t>
            </w:r>
            <w:r>
              <w:rPr>
                <w:b w:val="0"/>
                <w:i w:val="0"/>
                <w:sz w:val="18"/>
              </w:rPr>
              <w:t xml:space="preserve">; </w:t>
            </w:r>
            <w:r>
              <w:rPr>
                <w:b/>
                <w:i w:val="0"/>
                <w:sz w:val="18"/>
              </w:rPr>
              <w:t>no treatment</w:t>
            </w:r>
          </w:p>
        </w:tc>
      </w:tr>
      <w:tr>
        <w:tc>
          <w:tcPr>
            <w:tcW w:type="dxa" w:w="5112"/>
          </w:tcPr>
          <w:p>
            <w:pPr>
              <w:spacing w:after="40"/>
            </w:pPr>
            <w:r>
              <w:rPr>
                <w:sz w:val="18"/>
              </w:rPr>
            </w:r>
            <w:r>
              <w:rPr>
                <w:b w:val="0"/>
                <w:i w:val="0"/>
                <w:sz w:val="18"/>
              </w:rPr>
              <w:t>Other infections</w:t>
            </w:r>
          </w:p>
        </w:tc>
        <w:tc>
          <w:tcPr>
            <w:tcW w:type="dxa" w:w="5112"/>
          </w:tcPr>
          <w:p>
            <w:pPr>
              <w:spacing w:after="40"/>
            </w:pPr>
            <w:r>
              <w:rPr>
                <w:sz w:val="18"/>
              </w:rPr>
            </w:r>
            <w:r>
              <w:rPr>
                <w:b w:val="0"/>
                <w:i w:val="0"/>
                <w:sz w:val="18"/>
              </w:rPr>
              <w:t xml:space="preserve">Severe eye infections, progressive pneumonia, nosocomial post-surgical infections; rare </w:t>
            </w:r>
            <w:r>
              <w:rPr>
                <w:b/>
                <w:i w:val="0"/>
                <w:sz w:val="18"/>
              </w:rPr>
              <w:t>clinical sepsis from contaminated injection sites traced to contaminated alcohol prep pads</w:t>
            </w:r>
            <w:r>
              <w:rPr>
                <w:b w:val="0"/>
                <w:i w:val="0"/>
                <w:sz w:val="18"/>
              </w:rPr>
              <w:t xml:space="preserve">. Increasingly reported in the immunosuppressed; may resist beta-lactam antibiotics; new, sometimes highly pathogenic strains in the </w:t>
            </w:r>
            <w:r>
              <w:rPr>
                <w:b w:val="0"/>
                <w:i/>
                <w:sz w:val="18"/>
              </w:rPr>
              <w:t>B. cereus</w:t>
            </w:r>
            <w:r>
              <w:rPr>
                <w:b w:val="0"/>
                <w:i w:val="0"/>
                <w:sz w:val="18"/>
              </w:rPr>
              <w:t xml:space="preserve"> group can be misidentified, delaying treatment</w:t>
            </w:r>
          </w:p>
        </w:tc>
      </w:tr>
      <w:tr>
        <w:tc>
          <w:tcPr>
            <w:tcW w:type="dxa" w:w="5112"/>
          </w:tcPr>
          <w:p>
            <w:pPr>
              <w:spacing w:after="40"/>
            </w:pPr>
            <w:r>
              <w:rPr>
                <w:sz w:val="18"/>
              </w:rPr>
            </w:r>
            <w:r>
              <w:rPr>
                <w:b w:val="0"/>
                <w:i w:val="0"/>
                <w:sz w:val="18"/>
              </w:rPr>
              <w:t>Welder’s anthrax</w:t>
            </w:r>
          </w:p>
        </w:tc>
        <w:tc>
          <w:tcPr>
            <w:tcW w:type="dxa" w:w="5112"/>
          </w:tcPr>
          <w:p>
            <w:pPr>
              <w:spacing w:after="40"/>
            </w:pPr>
            <w:r>
              <w:rPr>
                <w:sz w:val="18"/>
              </w:rPr>
            </w:r>
            <w:r>
              <w:rPr>
                <w:b w:val="0"/>
                <w:i w:val="0"/>
                <w:sz w:val="18"/>
              </w:rPr>
              <w:t xml:space="preserve">A recently recognized disease of metal workers: </w:t>
            </w:r>
            <w:r>
              <w:rPr>
                <w:b/>
                <w:i w:val="0"/>
                <w:sz w:val="18"/>
              </w:rPr>
              <w:t xml:space="preserve">anthrax toxins have been identified, but they are produced by </w:t>
            </w:r>
            <w:r>
              <w:rPr>
                <w:b/>
                <w:i/>
                <w:sz w:val="18"/>
              </w:rPr>
              <w:t>Bacillus cereus</w:t>
            </w:r>
            <w:r>
              <w:rPr>
                <w:b w:val="0"/>
                <w:i w:val="0"/>
                <w:sz w:val="18"/>
              </w:rPr>
              <w:t>. Metal fume inhalation may predispose</w:t>
            </w:r>
          </w:p>
        </w:tc>
      </w:tr>
    </w:tbl>
    <w:p>
      <w:pPr>
        <w:spacing w:after="80"/>
      </w:pPr>
    </w:p>
    <w:p>
      <w:pPr>
        <w:pStyle w:val="Heading2"/>
        <w:spacing w:before="200" w:after="100"/>
      </w:pPr>
      <w:r>
        <w:rPr>
          <w:rFonts w:ascii="Georgia" w:hAnsi="Georgia"/>
          <w:color w:val="1F4D2B"/>
        </w:rPr>
        <w:t>10.4 · Objective 1 — Clostridium perfringens : gas gangrene and food poisoning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Myonecrosis (anaerobic cellulitis) / gas gangrene</w:t>
            </w:r>
          </w:p>
        </w:tc>
      </w:tr>
      <w:tr>
        <w:tc>
          <w:tcPr>
            <w:tcW w:type="dxa" w:w="5112"/>
          </w:tcPr>
          <w:p>
            <w:pPr>
              <w:spacing w:after="40"/>
            </w:pPr>
            <w:r>
              <w:rPr>
                <w:sz w:val="18"/>
              </w:rPr>
            </w:r>
            <w:r>
              <w:rPr>
                <w:b w:val="0"/>
                <w:i w:val="0"/>
                <w:sz w:val="18"/>
              </w:rPr>
              <w:t>Organism</w:t>
            </w:r>
          </w:p>
        </w:tc>
        <w:tc>
          <w:tcPr>
            <w:tcW w:type="dxa" w:w="5112"/>
          </w:tcPr>
          <w:p>
            <w:pPr>
              <w:spacing w:after="40"/>
            </w:pPr>
            <w:r>
              <w:rPr>
                <w:sz w:val="18"/>
              </w:rPr>
            </w:r>
            <w:r>
              <w:rPr>
                <w:b/>
                <w:i/>
                <w:sz w:val="18"/>
                <w:highlight w:val="yellow"/>
              </w:rPr>
              <w:t>Clostridium perfringens</w:t>
            </w:r>
            <w:r>
              <w:rPr>
                <w:b/>
                <w:i w:val="0"/>
                <w:sz w:val="18"/>
                <w:highlight w:val="yellow"/>
              </w:rPr>
              <w:t xml:space="preserve"> is the most common cause</w:t>
            </w:r>
            <w:r>
              <w:rPr>
                <w:b w:val="0"/>
                <w:i w:val="0"/>
                <w:sz w:val="18"/>
              </w:rPr>
              <w:t xml:space="preserve">; </w:t>
            </w:r>
            <w:r>
              <w:rPr>
                <w:b w:val="0"/>
                <w:i/>
                <w:sz w:val="18"/>
              </w:rPr>
              <w:t>C. novyi</w:t>
            </w:r>
            <w:r>
              <w:rPr>
                <w:b w:val="0"/>
                <w:i w:val="0"/>
                <w:sz w:val="18"/>
              </w:rPr>
              <w:t xml:space="preserve">, </w:t>
            </w:r>
            <w:r>
              <w:rPr>
                <w:b w:val="0"/>
                <w:i/>
                <w:sz w:val="18"/>
              </w:rPr>
              <w:t>C. septicum</w:t>
            </w:r>
            <w:r>
              <w:rPr>
                <w:b w:val="0"/>
                <w:i w:val="0"/>
                <w:sz w:val="18"/>
              </w:rPr>
              <w:t xml:space="preserve"> and other species can also cause it</w:t>
            </w:r>
          </w:p>
        </w:tc>
      </w:tr>
      <w:tr>
        <w:tc>
          <w:tcPr>
            <w:tcW w:type="dxa" w:w="5112"/>
          </w:tcPr>
          <w:p>
            <w:pPr>
              <w:spacing w:after="40"/>
            </w:pPr>
            <w:r>
              <w:rPr>
                <w:sz w:val="18"/>
              </w:rPr>
            </w:r>
            <w:r>
              <w:rPr>
                <w:b w:val="0"/>
                <w:i w:val="0"/>
                <w:sz w:val="18"/>
              </w:rPr>
              <w:t>Source</w:t>
            </w:r>
          </w:p>
        </w:tc>
        <w:tc>
          <w:tcPr>
            <w:tcW w:type="dxa" w:w="5112"/>
          </w:tcPr>
          <w:p>
            <w:pPr>
              <w:spacing w:after="40"/>
            </w:pPr>
            <w:r>
              <w:rPr>
                <w:sz w:val="18"/>
              </w:rPr>
            </w:r>
            <w:r>
              <w:rPr>
                <w:b w:val="0"/>
                <w:i w:val="0"/>
                <w:sz w:val="18"/>
              </w:rPr>
              <w:t xml:space="preserve">Spores in soil, human skin, intestine and vagina; about 90% of contaminated wounds carry the organism but only about 2% develop myonecrosis — </w:t>
            </w:r>
            <w:r>
              <w:rPr>
                <w:b/>
                <w:i w:val="0"/>
                <w:sz w:val="18"/>
              </w:rPr>
              <w:t>host factors</w:t>
            </w:r>
          </w:p>
        </w:tc>
      </w:tr>
      <w:tr>
        <w:tc>
          <w:tcPr>
            <w:tcW w:type="dxa" w:w="5112"/>
          </w:tcPr>
          <w:p>
            <w:pPr>
              <w:spacing w:after="40"/>
            </w:pPr>
            <w:r>
              <w:rPr>
                <w:sz w:val="18"/>
              </w:rPr>
            </w:r>
            <w:r>
              <w:rPr>
                <w:b w:val="0"/>
                <w:i w:val="0"/>
                <w:sz w:val="18"/>
              </w:rPr>
              <w:t>Predisposing wounds</w:t>
            </w:r>
          </w:p>
        </w:tc>
        <w:tc>
          <w:tcPr>
            <w:tcW w:type="dxa" w:w="5112"/>
          </w:tcPr>
          <w:p>
            <w:pPr>
              <w:spacing w:after="40"/>
            </w:pPr>
            <w:r>
              <w:rPr>
                <w:sz w:val="18"/>
              </w:rPr>
            </w:r>
            <w:r>
              <w:rPr>
                <w:b w:val="0"/>
                <w:i w:val="0"/>
                <w:sz w:val="18"/>
              </w:rPr>
              <w:t xml:space="preserve">Surgical incisions, </w:t>
            </w:r>
            <w:r>
              <w:rPr>
                <w:b/>
                <w:i w:val="0"/>
                <w:sz w:val="18"/>
              </w:rPr>
              <w:t>compound fractures</w:t>
            </w:r>
            <w:r>
              <w:rPr>
                <w:b w:val="0"/>
                <w:i w:val="0"/>
                <w:sz w:val="18"/>
              </w:rPr>
              <w:t>, diabetic ulcers, septic abortions, puncture wounds, gunshot wounds</w:t>
            </w:r>
          </w:p>
        </w:tc>
      </w:tr>
      <w:tr>
        <w:tc>
          <w:tcPr>
            <w:tcW w:type="dxa" w:w="5112"/>
          </w:tcPr>
          <w:p>
            <w:pPr>
              <w:spacing w:after="40"/>
            </w:pPr>
            <w:r>
              <w:rPr>
                <w:sz w:val="18"/>
              </w:rPr>
            </w:r>
            <w:r>
              <w:rPr>
                <w:b w:val="0"/>
                <w:i w:val="0"/>
                <w:sz w:val="18"/>
              </w:rPr>
              <w:t>Why a mixed infection</w:t>
            </w:r>
          </w:p>
        </w:tc>
        <w:tc>
          <w:tcPr>
            <w:tcW w:type="dxa" w:w="5112"/>
          </w:tcPr>
          <w:p>
            <w:pPr>
              <w:spacing w:after="40"/>
            </w:pPr>
            <w:r>
              <w:rPr>
                <w:sz w:val="18"/>
              </w:rPr>
            </w:r>
            <w:r>
              <w:rPr>
                <w:b w:val="0"/>
                <w:i w:val="0"/>
                <w:sz w:val="18"/>
                <w:highlight w:val="yellow"/>
              </w:rPr>
              <w:t xml:space="preserve">Aerobic bacteria in the wound </w:t>
            </w:r>
            <w:r>
              <w:rPr>
                <w:b/>
                <w:i w:val="0"/>
                <w:sz w:val="18"/>
                <w:highlight w:val="yellow"/>
              </w:rPr>
              <w:t>use up the oxygen</w:t>
            </w:r>
            <w:r>
              <w:rPr>
                <w:b w:val="0"/>
                <w:i w:val="0"/>
                <w:sz w:val="18"/>
                <w:highlight w:val="yellow"/>
              </w:rPr>
              <w:t>, producing the low oxygen tension the anaerobes need to grow</w:t>
            </w:r>
          </w:p>
        </w:tc>
      </w:tr>
      <w:tr>
        <w:tc>
          <w:tcPr>
            <w:tcW w:type="dxa" w:w="5112"/>
          </w:tcPr>
          <w:p>
            <w:pPr>
              <w:spacing w:after="40"/>
            </w:pPr>
            <w:r>
              <w:rPr>
                <w:sz w:val="18"/>
              </w:rPr>
            </w:r>
            <w:r>
              <w:rPr>
                <w:b w:val="0"/>
                <w:i w:val="0"/>
                <w:sz w:val="18"/>
              </w:rPr>
              <w:t>Pathology</w:t>
            </w:r>
          </w:p>
        </w:tc>
        <w:tc>
          <w:tcPr>
            <w:tcW w:type="dxa" w:w="5112"/>
          </w:tcPr>
          <w:p>
            <w:pPr>
              <w:spacing w:after="40"/>
            </w:pPr>
            <w:r>
              <w:rPr>
                <w:sz w:val="18"/>
              </w:rPr>
            </w:r>
            <w:r>
              <w:rPr>
                <w:b/>
                <w:i w:val="0"/>
                <w:sz w:val="18"/>
              </w:rPr>
              <w:t>Not highly invasive: it requires damaged, dead tissue and anaerobic conditions.</w:t>
            </w:r>
            <w:r>
              <w:rPr>
                <w:b w:val="0"/>
                <w:i w:val="0"/>
                <w:sz w:val="18"/>
              </w:rPr>
              <w:t xml:space="preserve"> These stimulate spore germination, vegetative growth and release of exotoxins and other virulence factors. </w:t>
            </w:r>
            <w:r>
              <w:rPr>
                <w:b/>
                <w:i w:val="0"/>
                <w:sz w:val="18"/>
              </w:rPr>
              <w:t>Fermentation of muscle carbohydrates forms the gas</w:t>
            </w:r>
            <w:r>
              <w:rPr>
                <w:b w:val="0"/>
                <w:i w:val="0"/>
                <w:sz w:val="18"/>
              </w:rPr>
              <w:t xml:space="preserve"> and destroys more tissue</w:t>
            </w:r>
          </w:p>
        </w:tc>
      </w:tr>
      <w:tr>
        <w:tc>
          <w:tcPr>
            <w:tcW w:type="dxa" w:w="5112"/>
          </w:tcPr>
          <w:p>
            <w:pPr>
              <w:spacing w:after="40"/>
            </w:pPr>
            <w:r>
              <w:rPr>
                <w:sz w:val="18"/>
              </w:rPr>
            </w:r>
            <w:r>
              <w:rPr>
                <w:b w:val="0"/>
                <w:i w:val="0"/>
                <w:sz w:val="18"/>
              </w:rPr>
              <w:t>Virulence factors</w:t>
            </w:r>
          </w:p>
        </w:tc>
        <w:tc>
          <w:tcPr>
            <w:tcW w:type="dxa" w:w="5112"/>
          </w:tcPr>
          <w:p>
            <w:pPr>
              <w:spacing w:after="40"/>
            </w:pPr>
            <w:r>
              <w:rPr>
                <w:sz w:val="18"/>
              </w:rPr>
            </w:r>
            <w:r>
              <w:rPr>
                <w:b w:val="0"/>
                <w:i w:val="0"/>
                <w:sz w:val="18"/>
              </w:rPr>
              <w:t xml:space="preserve">At least 17 toxins (names not examinable): one ruptures red blood cells and causes edema and tissue destruction, another destroys white blood cells. Enzymes: </w:t>
            </w:r>
            <w:r>
              <w:rPr>
                <w:b/>
                <w:i w:val="0"/>
                <w:sz w:val="18"/>
              </w:rPr>
              <w:t>collagenase, hyaluronidase</w:t>
            </w:r>
            <w:r>
              <w:rPr>
                <w:b w:val="0"/>
                <w:i w:val="0"/>
                <w:sz w:val="18"/>
              </w:rPr>
              <w:t xml:space="preserve"> and deoxyribonuclease, which break down connective tissue and let the infection spread</w:t>
            </w:r>
          </w:p>
        </w:tc>
      </w:tr>
      <w:tr>
        <w:tc>
          <w:tcPr>
            <w:tcW w:type="dxa" w:w="5112"/>
          </w:tcPr>
          <w:p>
            <w:pPr>
              <w:spacing w:after="40"/>
            </w:pPr>
            <w:r>
              <w:rPr>
                <w:sz w:val="18"/>
              </w:rPr>
            </w:r>
            <w:r>
              <w:rPr>
                <w:b w:val="0"/>
                <w:i w:val="0"/>
                <w:sz w:val="18"/>
              </w:rPr>
              <w:t>Extent</w:t>
            </w:r>
          </w:p>
        </w:tc>
        <w:tc>
          <w:tcPr>
            <w:tcW w:type="dxa" w:w="5112"/>
          </w:tcPr>
          <w:p>
            <w:pPr>
              <w:spacing w:after="40"/>
            </w:pPr>
            <w:r>
              <w:rPr>
                <w:sz w:val="18"/>
              </w:rPr>
            </w:r>
            <w:r>
              <w:rPr>
                <w:b/>
                <w:i w:val="0"/>
                <w:sz w:val="18"/>
              </w:rPr>
              <w:t>Anaerobic cellulitis</w:t>
            </w:r>
            <w:r>
              <w:rPr>
                <w:b w:val="0"/>
                <w:i w:val="0"/>
                <w:sz w:val="18"/>
              </w:rPr>
              <w:t xml:space="preserve">: gas and tissue damage, but it </w:t>
            </w:r>
            <w:r>
              <w:rPr>
                <w:b/>
                <w:i w:val="0"/>
                <w:sz w:val="18"/>
              </w:rPr>
              <w:t>stays localized</w:t>
            </w:r>
            <w:r>
              <w:rPr>
                <w:b w:val="0"/>
                <w:i w:val="0"/>
                <w:sz w:val="18"/>
              </w:rPr>
              <w:t xml:space="preserve">. </w:t>
            </w:r>
            <w:r>
              <w:rPr>
                <w:b/>
                <w:i w:val="0"/>
                <w:sz w:val="18"/>
              </w:rPr>
              <w:t>True myonecrosis</w:t>
            </w:r>
            <w:r>
              <w:rPr>
                <w:b w:val="0"/>
                <w:i w:val="0"/>
                <w:sz w:val="18"/>
              </w:rPr>
              <w:t xml:space="preserve">: the local infection leads to </w:t>
            </w:r>
            <w:r>
              <w:rPr>
                <w:b/>
                <w:i w:val="0"/>
                <w:sz w:val="18"/>
              </w:rPr>
              <w:t>spreading tissue damage with fever, tachycardia and blackened necrotic tissue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Debridement of diseased tissue (difficult if intestinal), possibly amputation, large doses of antibiotics, and </w:t>
            </w:r>
            <w:r>
              <w:rPr>
                <w:b/>
                <w:i w:val="0"/>
                <w:sz w:val="18"/>
              </w:rPr>
              <w:t>hyperbaric oxygen</w:t>
            </w:r>
            <w:r>
              <w:rPr>
                <w:b w:val="0"/>
                <w:i w:val="0"/>
                <w:sz w:val="18"/>
              </w:rPr>
              <w:t xml:space="preserve">, which floods the tissue with oxygen and </w:t>
            </w:r>
            <w:r>
              <w:rPr>
                <w:b/>
                <w:i w:val="0"/>
                <w:sz w:val="18"/>
              </w:rPr>
              <w:t>inhibits the anaerobe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Immediate cleansing</w:t>
            </w:r>
            <w:r>
              <w:rPr>
                <w:b w:val="0"/>
                <w:i w:val="0"/>
                <w:sz w:val="18"/>
              </w:rPr>
              <w:t xml:space="preserve"> of dirty wounds, deep wounds, compound fractures and infected incisions. </w:t>
            </w:r>
            <w:r>
              <w:rPr>
                <w:b/>
                <w:i w:val="0"/>
                <w:sz w:val="18"/>
              </w:rPr>
              <w:t>No vaccine is available.</w:t>
            </w:r>
          </w:p>
        </w:tc>
      </w:tr>
    </w:tbl>
    <w:p>
      <w:pPr>
        <w:spacing w:after="80"/>
      </w:pPr>
    </w:p>
    <w:p>
      <w:pPr>
        <w:jc w:val="center"/>
      </w:pPr>
      <w:r>
        <w:drawing>
          <wp:inline xmlns:a="http://schemas.openxmlformats.org/drawingml/2006/main" xmlns:pic="http://schemas.openxmlformats.org/drawingml/2006/picture">
            <wp:extent cx="3840480" cy="2255614"/>
            <wp:docPr id="26" name="Picture 26"/>
            <wp:cNvGraphicFramePr>
              <a:graphicFrameLocks noChangeAspect="1"/>
            </wp:cNvGraphicFramePr>
            <a:graphic>
              <a:graphicData uri="http://schemas.openxmlformats.org/drawingml/2006/picture">
                <pic:pic>
                  <pic:nvPicPr>
                    <pic:cNvPr id="0" name="Microbiology_Exam_2_micro-exam-2-study-guide-images_l10-s25-gas-gangrene-muscle.jpg"/>
                    <pic:cNvPicPr/>
                  </pic:nvPicPr>
                  <pic:blipFill>
                    <a:blip r:embed="rId34"/>
                    <a:stretch>
                      <a:fillRect/>
                    </a:stretch>
                  </pic:blipFill>
                  <pic:spPr>
                    <a:xfrm>
                      <a:off x="0" y="0"/>
                      <a:ext cx="3840480" cy="2255614"/>
                    </a:xfrm>
                    <a:prstGeom prst="rect"/>
                  </pic:spPr>
                </pic:pic>
              </a:graphicData>
            </a:graphic>
          </wp:inline>
        </w:drawing>
      </w:r>
    </w:p>
    <w:p>
      <w:pPr>
        <w:spacing w:after="160"/>
        <w:jc w:val="center"/>
      </w:pPr>
      <w:r>
        <w:rPr>
          <w:sz w:val="15"/>
        </w:rPr>
        <w:t>Why it is called gas gangrene. Clostridium rods between muscle fibers, with the gas-filled spaces left by fermentation of muscle carbohydrate. Copyright © The McGraw-Hill Companies. Source: Lecture 9 Dr. Webster Gram positive Bacilli.pptx, Slide 25.</w:t>
      </w:r>
    </w:p>
    <w:p>
      <w:pPr>
        <w:spacing w:after="120"/>
      </w:pPr>
      <w:r>
        <w:rPr>
          <w:b/>
          <w:i w:val="0"/>
        </w:rPr>
        <w:t>Clostridial food poisoning compared.</w:t>
      </w:r>
      <w:r>
        <w:rPr>
          <w:b w:val="0"/>
          <w:i w:val="0"/>
        </w:rPr>
        <w:t xml:space="preserve"> </w:t>
      </w:r>
      <w:r>
        <w:rPr>
          <w:b w:val="0"/>
          <w:i/>
        </w:rPr>
        <w:t>Clostridium botulinum</w:t>
      </w:r>
      <w:r>
        <w:rPr>
          <w:b w:val="0"/>
          <w:i w:val="0"/>
        </w:rPr>
        <w:t xml:space="preserve"> causes a </w:t>
      </w:r>
      <w:r>
        <w:rPr>
          <w:b/>
          <w:i w:val="0"/>
        </w:rPr>
        <w:t>rare but severe</w:t>
      </w:r>
      <w:r>
        <w:rPr>
          <w:b w:val="0"/>
          <w:i w:val="0"/>
        </w:rPr>
        <w:t xml:space="preserve"> intoxication, usually from home-canned food (10.6). </w:t>
      </w:r>
      <w:r>
        <w:rPr>
          <w:b w:val="0"/>
          <w:i/>
        </w:rPr>
        <w:t>Clostridium perfringens</w:t>
      </w:r>
      <w:r>
        <w:rPr>
          <w:b w:val="0"/>
          <w:i w:val="0"/>
        </w:rPr>
        <w:t xml:space="preserve"> causes a </w:t>
      </w:r>
      <w:r>
        <w:rPr>
          <w:b/>
          <w:i w:val="0"/>
        </w:rPr>
        <w:t>mild intestinal illness</w:t>
      </w:r>
      <w:r>
        <w:rPr>
          <w:b w:val="0"/>
          <w:i w:val="0"/>
        </w:rPr>
        <w:t xml:space="preserve"> and is a very common food poisoning. In </w:t>
      </w:r>
      <w:r>
        <w:rPr>
          <w:b w:val="0"/>
          <w:i/>
        </w:rPr>
        <w:t>C. perfringens</w:t>
      </w:r>
      <w:r>
        <w:rPr>
          <w:b w:val="0"/>
          <w:i w:val="0"/>
        </w:rPr>
        <w:t xml:space="preserve"> gastroenteritis the foods most commonly involved are </w:t>
      </w:r>
      <w:r>
        <w:rPr>
          <w:b/>
          <w:i w:val="0"/>
        </w:rPr>
        <w:t>meat, fish and undercooked vegetables</w:t>
      </w:r>
      <w:r>
        <w:rPr>
          <w:b w:val="0"/>
          <w:i w:val="0"/>
        </w:rPr>
        <w:t xml:space="preserve">: spores survive cooking that was not thorough enough, germinate and multiply (especially if the food is unrefrigerated), and once eaten </w:t>
      </w:r>
      <w:r>
        <w:rPr>
          <w:b/>
          <w:i w:val="0"/>
        </w:rPr>
        <w:t>the toxin is produced in the intestine</w:t>
      </w:r>
      <w:r>
        <w:rPr>
          <w:b w:val="0"/>
          <w:i w:val="0"/>
        </w:rPr>
        <w:t xml:space="preserve">, acting on epithelial cells — acute abdominal pain, diarrhea and nausea, with </w:t>
      </w:r>
      <w:r>
        <w:rPr>
          <w:b/>
          <w:i w:val="0"/>
        </w:rPr>
        <w:t>rapid recovery</w:t>
      </w:r>
      <w:r>
        <w:rPr>
          <w:b w:val="0"/>
          <w:i w:val="0"/>
        </w:rPr>
        <w:t>.</w:t>
      </w:r>
    </w:p>
    <w:p>
      <w:pPr>
        <w:pStyle w:val="Heading2"/>
        <w:spacing w:before="200" w:after="100"/>
      </w:pPr>
      <w:r>
        <w:rPr>
          <w:rFonts w:ascii="Georgia" w:hAnsi="Georgia"/>
          <w:color w:val="1F4D2B"/>
        </w:rPr>
        <w:t>10.5 · Objective 1 — Clostridium tetani and tetanus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Clostridium tetani</w:t>
            </w:r>
          </w:p>
        </w:tc>
      </w:tr>
      <w:tr>
        <w:tc>
          <w:tcPr>
            <w:tcW w:type="dxa" w:w="5112"/>
          </w:tcPr>
          <w:p>
            <w:pPr>
              <w:spacing w:after="40"/>
            </w:pPr>
            <w:r>
              <w:rPr>
                <w:sz w:val="18"/>
              </w:rPr>
            </w:r>
            <w:r>
              <w:rPr>
                <w:b w:val="0"/>
                <w:i w:val="0"/>
                <w:sz w:val="18"/>
              </w:rPr>
              <w:t>Habitat and disease</w:t>
            </w:r>
          </w:p>
        </w:tc>
        <w:tc>
          <w:tcPr>
            <w:tcW w:type="dxa" w:w="5112"/>
          </w:tcPr>
          <w:p>
            <w:pPr>
              <w:spacing w:after="40"/>
            </w:pPr>
            <w:r>
              <w:rPr>
                <w:sz w:val="18"/>
              </w:rPr>
            </w:r>
            <w:r>
              <w:rPr>
                <w:b w:val="0"/>
                <w:i w:val="0"/>
                <w:sz w:val="18"/>
              </w:rPr>
              <w:t xml:space="preserve">A common resident of soil and the gastrointestinal tracts of animals; causes </w:t>
            </w:r>
            <w:r>
              <w:rPr>
                <w:b/>
                <w:i w:val="0"/>
                <w:sz w:val="18"/>
              </w:rPr>
              <w:t>tetanus (lockjaw)</w:t>
            </w:r>
            <w:r>
              <w:rPr>
                <w:b w:val="0"/>
                <w:i w:val="0"/>
                <w:sz w:val="18"/>
              </w:rPr>
              <w:t xml:space="preserve">, a neuromuscular disease. A </w:t>
            </w:r>
            <w:r>
              <w:rPr>
                <w:b/>
                <w:i w:val="0"/>
                <w:sz w:val="18"/>
              </w:rPr>
              <w:t>strict anaerobe</w:t>
            </w:r>
            <w:r>
              <w:rPr>
                <w:b w:val="0"/>
                <w:i w:val="0"/>
                <w:sz w:val="18"/>
              </w:rPr>
              <w:t>: low oxygen tension is needed to germinate the spores and make toxin</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val="0"/>
                <w:i w:val="0"/>
                <w:sz w:val="18"/>
              </w:rPr>
              <w:t xml:space="preserve">Most commonly </w:t>
            </w:r>
            <w:r>
              <w:rPr>
                <w:b/>
                <w:i w:val="0"/>
                <w:sz w:val="18"/>
              </w:rPr>
              <w:t>older (geriatric) patients and intravenous drug users</w:t>
            </w:r>
            <w:r>
              <w:rPr>
                <w:b w:val="0"/>
                <w:i w:val="0"/>
                <w:sz w:val="18"/>
              </w:rPr>
              <w:t xml:space="preserve">; </w:t>
            </w:r>
            <w:r>
              <w:rPr>
                <w:b/>
                <w:i w:val="0"/>
                <w:sz w:val="18"/>
              </w:rPr>
              <w:t>neonates in developing countries</w:t>
            </w:r>
          </w:p>
        </w:tc>
      </w:tr>
      <w:tr>
        <w:tc>
          <w:tcPr>
            <w:tcW w:type="dxa" w:w="5112"/>
          </w:tcPr>
          <w:p>
            <w:pPr>
              <w:spacing w:after="40"/>
            </w:pPr>
            <w:r>
              <w:rPr>
                <w:sz w:val="18"/>
              </w:rPr>
            </w:r>
            <w:r>
              <w:rPr>
                <w:b w:val="0"/>
                <w:i w:val="0"/>
                <w:sz w:val="18"/>
              </w:rPr>
              <w:t>Entry</w:t>
            </w:r>
          </w:p>
        </w:tc>
        <w:tc>
          <w:tcPr>
            <w:tcW w:type="dxa" w:w="5112"/>
          </w:tcPr>
          <w:p>
            <w:pPr>
              <w:spacing w:after="40"/>
            </w:pPr>
            <w:r>
              <w:rPr>
                <w:sz w:val="18"/>
              </w:rPr>
            </w:r>
            <w:r>
              <w:rPr>
                <w:b w:val="0"/>
                <w:i w:val="0"/>
                <w:sz w:val="18"/>
              </w:rPr>
              <w:t xml:space="preserve">Spores usually enter through </w:t>
            </w:r>
            <w:r>
              <w:rPr>
                <w:b/>
                <w:i w:val="0"/>
                <w:sz w:val="18"/>
              </w:rPr>
              <w:t>accidental puncture wounds</w:t>
            </w:r>
            <w:r>
              <w:rPr>
                <w:b w:val="0"/>
                <w:i w:val="0"/>
                <w:sz w:val="18"/>
              </w:rPr>
              <w:t xml:space="preserve">, also burns, </w:t>
            </w:r>
            <w:r>
              <w:rPr>
                <w:b/>
                <w:i w:val="0"/>
                <w:sz w:val="18"/>
              </w:rPr>
              <w:t>umbilical stumps</w:t>
            </w:r>
            <w:r>
              <w:rPr>
                <w:b w:val="0"/>
                <w:i w:val="0"/>
                <w:sz w:val="18"/>
              </w:rPr>
              <w:t xml:space="preserve"> (neonatal tetanus), frostbite and crushed body parts</w:t>
            </w:r>
          </w:p>
        </w:tc>
      </w:tr>
      <w:tr>
        <w:tc>
          <w:tcPr>
            <w:tcW w:type="dxa" w:w="5112"/>
          </w:tcPr>
          <w:p>
            <w:pPr>
              <w:spacing w:after="40"/>
            </w:pPr>
            <w:r>
              <w:rPr>
                <w:sz w:val="18"/>
              </w:rPr>
            </w:r>
            <w:r>
              <w:rPr>
                <w:b w:val="0"/>
                <w:i w:val="0"/>
                <w:sz w:val="18"/>
              </w:rPr>
              <w:t>Incubation</w:t>
            </w:r>
          </w:p>
        </w:tc>
        <w:tc>
          <w:tcPr>
            <w:tcW w:type="dxa" w:w="5112"/>
          </w:tcPr>
          <w:p>
            <w:pPr>
              <w:spacing w:after="40"/>
            </w:pPr>
            <w:r>
              <w:rPr>
                <w:sz w:val="18"/>
              </w:rPr>
            </w:r>
            <w:r>
              <w:rPr>
                <w:b w:val="0"/>
                <w:i w:val="0"/>
                <w:sz w:val="18"/>
              </w:rPr>
              <w:t xml:space="preserve">4–10 days; </w:t>
            </w:r>
            <w:r>
              <w:rPr>
                <w:b/>
                <w:i w:val="0"/>
                <w:sz w:val="18"/>
              </w:rPr>
              <w:t>the shorter the incubation, the more serious the disease</w:t>
            </w:r>
            <w:r>
              <w:rPr>
                <w:b w:val="0"/>
                <w:i w:val="0"/>
                <w:sz w:val="18"/>
              </w:rPr>
              <w:t>. Delayed care, short incubation and head wounds worsen the outlook</w:t>
            </w:r>
          </w:p>
        </w:tc>
      </w:tr>
      <w:tr>
        <w:tc>
          <w:tcPr>
            <w:tcW w:type="dxa" w:w="5112"/>
          </w:tcPr>
          <w:p>
            <w:pPr>
              <w:spacing w:after="40"/>
            </w:pPr>
            <w:r>
              <w:rPr>
                <w:sz w:val="18"/>
              </w:rPr>
            </w:r>
            <w:r>
              <w:rPr>
                <w:b w:val="0"/>
                <w:i w:val="0"/>
                <w:sz w:val="18"/>
              </w:rPr>
              <w:t>Mechanism</w:t>
            </w:r>
          </w:p>
        </w:tc>
        <w:tc>
          <w:tcPr>
            <w:tcW w:type="dxa" w:w="5112"/>
          </w:tcPr>
          <w:p>
            <w:pPr>
              <w:spacing w:after="40"/>
            </w:pPr>
            <w:r>
              <w:rPr>
                <w:sz w:val="18"/>
              </w:rPr>
            </w:r>
            <w:r>
              <w:rPr>
                <w:b/>
                <w:i w:val="0"/>
                <w:sz w:val="18"/>
              </w:rPr>
              <w:t>Tetanospasmin</w:t>
            </w:r>
            <w:r>
              <w:rPr>
                <w:b w:val="0"/>
                <w:i w:val="0"/>
                <w:sz w:val="18"/>
              </w:rPr>
              <w:t xml:space="preserve">, a neurotoxin, enters at motor nerve endings and acts on the spinal inhibitory neurons, </w:t>
            </w:r>
            <w:r>
              <w:rPr>
                <w:b/>
                <w:i w:val="0"/>
                <w:sz w:val="18"/>
              </w:rPr>
              <w:t>blocking release of the inhibitory transmitters gamma-aminobutyric acid and glycine</w:t>
            </w:r>
            <w:r>
              <w:rPr>
                <w:b w:val="0"/>
                <w:i w:val="0"/>
                <w:sz w:val="18"/>
              </w:rPr>
              <w:t xml:space="preserve">, so </w:t>
            </w:r>
            <w:r>
              <w:rPr>
                <w:b/>
                <w:i w:val="0"/>
                <w:sz w:val="18"/>
              </w:rPr>
              <w:t>muscles contract uncontrollably</w:t>
            </w:r>
            <w:r>
              <w:rPr>
                <w:b w:val="0"/>
                <w:i w:val="0"/>
                <w:sz w:val="18"/>
              </w:rPr>
              <w:t xml:space="preserve"> (risus sardonicus, arching spasms)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 xml:space="preserve">Most often from </w:t>
            </w:r>
            <w:r>
              <w:rPr>
                <w:b/>
                <w:i w:val="0"/>
                <w:sz w:val="18"/>
              </w:rPr>
              <w:t>respiratory failure</w:t>
            </w:r>
            <w:r>
              <w:rPr>
                <w:b w:val="0"/>
                <w:i w:val="0"/>
                <w:sz w:val="18"/>
              </w:rPr>
              <w:t>, as spasm of the breathing muscles and larynx stops effective breathing (the slide calls the toxin’s effect paralysis; tetanus causes spasm, not flaccid paralysis)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Aimed at the toxemia and the infection and at maintaining homeostasis: </w:t>
            </w:r>
            <w:r>
              <w:rPr>
                <w:b/>
                <w:i w:val="0"/>
                <w:sz w:val="18"/>
              </w:rPr>
              <w:t>antitoxin (human tetanus immune globulin) inactivates circulating toxin but does not counteract toxin already bound</w:t>
            </w:r>
            <w:r>
              <w:rPr>
                <w:b w:val="0"/>
                <w:i w:val="0"/>
                <w:sz w:val="18"/>
              </w:rPr>
              <w:t>; antibiotics for the infection; muscle relaxants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vaccine; </w:t>
            </w:r>
            <w:r>
              <w:rPr>
                <w:b/>
                <w:i w:val="0"/>
                <w:sz w:val="18"/>
              </w:rPr>
              <w:t>a booster every 10 years</w:t>
            </w:r>
          </w:p>
        </w:tc>
      </w:tr>
    </w:tbl>
    <w:p>
      <w:pPr>
        <w:spacing w:after="80"/>
      </w:pPr>
    </w:p>
    <w:p>
      <w:pPr>
        <w:jc w:val="center"/>
      </w:pPr>
      <w:r>
        <w:drawing>
          <wp:inline xmlns:a="http://schemas.openxmlformats.org/drawingml/2006/main" xmlns:pic="http://schemas.openxmlformats.org/drawingml/2006/picture">
            <wp:extent cx="3840480" cy="1877344"/>
            <wp:docPr id="27" name="Picture 27"/>
            <wp:cNvGraphicFramePr>
              <a:graphicFrameLocks noChangeAspect="1"/>
            </wp:cNvGraphicFramePr>
            <a:graphic>
              <a:graphicData uri="http://schemas.openxmlformats.org/drawingml/2006/picture">
                <pic:pic>
                  <pic:nvPicPr>
                    <pic:cNvPr id="0" name="Microbiology_Exam_2_micro-exam-2-study-guide-images_l10-s30-tetanus-spinal-neuron.jpg"/>
                    <pic:cNvPicPr/>
                  </pic:nvPicPr>
                  <pic:blipFill>
                    <a:blip r:embed="rId35"/>
                    <a:stretch>
                      <a:fillRect/>
                    </a:stretch>
                  </pic:blipFill>
                  <pic:spPr>
                    <a:xfrm>
                      <a:off x="0" y="0"/>
                      <a:ext cx="3840480" cy="1877344"/>
                    </a:xfrm>
                    <a:prstGeom prst="rect"/>
                  </pic:spPr>
                </pic:pic>
              </a:graphicData>
            </a:graphic>
          </wp:inline>
        </w:drawing>
      </w:r>
    </w:p>
    <w:p>
      <w:pPr>
        <w:spacing w:after="160"/>
        <w:jc w:val="center"/>
      </w:pPr>
      <w:r>
        <w:rPr>
          <w:sz w:val="15"/>
        </w:rPr>
        <w:t>The events in tetanus. Toxin from the wound travels to the spinal cord and blocks the regulatory function of the spinal inhibitory neuron, so opposing muscles contract together — the fixed grin of risus sardonicus. Contrast botulism (10.6), where the block is at the neuromuscular junction itself. Source: Lecture 9 Dr. Webster Gram positive Bacilli.pptx, Slide 30.</w:t>
      </w:r>
    </w:p>
    <w:p>
      <w:pPr>
        <w:pStyle w:val="Heading2"/>
        <w:spacing w:before="200" w:after="100"/>
      </w:pPr>
      <w:r>
        <w:rPr>
          <w:rFonts w:ascii="Georgia" w:hAnsi="Georgia"/>
          <w:color w:val="1F4D2B"/>
        </w:rPr>
        <w:t>10.6 · Objective 1 — Clostridium botulinum and botulism</w:t>
      </w:r>
    </w:p>
    <w:p>
      <w:pPr>
        <w:spacing w:after="120"/>
      </w:pPr>
      <w:r>
        <w:rPr>
          <w:b/>
          <w:i w:val="0"/>
        </w:rPr>
        <w:t>Botulism is an intoxication associated with inadequate food preservation.</w:t>
      </w:r>
      <w:r>
        <w:rPr>
          <w:b w:val="0"/>
          <w:i w:val="0"/>
        </w:rPr>
        <w:t xml:space="preserve"> </w:t>
      </w:r>
      <w:r>
        <w:rPr>
          <w:b w:val="0"/>
          <w:i/>
        </w:rPr>
        <w:t>C. botulinum</w:t>
      </w:r>
      <w:r>
        <w:rPr>
          <w:b w:val="0"/>
          <w:i w:val="0"/>
        </w:rPr>
        <w:t xml:space="preserve"> is a spore-forming anaerobe of soil and water. Foodborne botulism is </w:t>
      </w:r>
      <w:r>
        <w:rPr>
          <w:b/>
          <w:i w:val="0"/>
        </w:rPr>
        <w:t>most prevalent with low-acid, home-canned foods</w:t>
      </w:r>
      <w:r>
        <w:rPr>
          <w:b w:val="0"/>
          <w:i w:val="0"/>
        </w:rPr>
        <w:t xml:space="preserve"> (green beans, corn), but meats, fish and dairy can carry it, and rarely commercial foods (the 2007 Castleberry chili sauce outbreak). </w:t>
      </w:r>
      <w:r>
        <w:rPr>
          <w:b/>
          <w:i w:val="0"/>
        </w:rPr>
        <w:t>Pathogenesis:</w:t>
      </w:r>
      <w:r>
        <w:rPr>
          <w:b w:val="0"/>
          <w:i w:val="0"/>
        </w:rPr>
        <w:t xml:space="preserve"> spores are on the food when it is gathered; </w:t>
      </w:r>
      <w:r>
        <w:rPr>
          <w:b/>
          <w:i w:val="0"/>
        </w:rPr>
        <w:t>if reliable temperature and pressure are not achieved, the air is evacuated but the spores remain</w:t>
      </w:r>
      <w:r>
        <w:rPr>
          <w:b w:val="0"/>
          <w:i w:val="0"/>
        </w:rPr>
        <w:t xml:space="preserve">; anaerobic conditions favor germination and growth; the toxin, botulin, is released and carried to neuromuscular junctions, where </w:t>
      </w:r>
      <w:r>
        <w:rPr>
          <w:b/>
          <w:i w:val="0"/>
        </w:rPr>
        <w:t>it blocks the release of acetylcholine</w:t>
      </w:r>
      <w:r>
        <w:rPr>
          <w:b w:val="0"/>
          <w:i w:val="0"/>
        </w:rPr>
        <w:t>, needed for muscle contraction.</w:t>
      </w:r>
    </w:p>
    <w:p>
      <w:pPr>
        <w:jc w:val="center"/>
      </w:pPr>
      <w:r>
        <w:drawing>
          <wp:inline xmlns:a="http://schemas.openxmlformats.org/drawingml/2006/main" xmlns:pic="http://schemas.openxmlformats.org/drawingml/2006/picture">
            <wp:extent cx="3840480" cy="5321681"/>
            <wp:docPr id="28" name="Picture 28"/>
            <wp:cNvGraphicFramePr>
              <a:graphicFrameLocks noChangeAspect="1"/>
            </wp:cNvGraphicFramePr>
            <a:graphic>
              <a:graphicData uri="http://schemas.openxmlformats.org/drawingml/2006/picture">
                <pic:pic>
                  <pic:nvPicPr>
                    <pic:cNvPr id="0" name="Microbiology_Exam_2_micro-exam-2-study-guide-images_l10-s36-botulin-neuromuscular-junction.jpg"/>
                    <pic:cNvPicPr/>
                  </pic:nvPicPr>
                  <pic:blipFill>
                    <a:blip r:embed="rId36"/>
                    <a:stretch>
                      <a:fillRect/>
                    </a:stretch>
                  </pic:blipFill>
                  <pic:spPr>
                    <a:xfrm>
                      <a:off x="0" y="0"/>
                      <a:ext cx="3840480" cy="5321681"/>
                    </a:xfrm>
                    <a:prstGeom prst="rect"/>
                  </pic:spPr>
                </pic:pic>
              </a:graphicData>
            </a:graphic>
          </wp:inline>
        </w:drawing>
      </w:r>
    </w:p>
    <w:p>
      <w:pPr>
        <w:spacing w:after="160"/>
        <w:jc w:val="center"/>
      </w:pPr>
      <w:r>
        <w:rPr>
          <w:sz w:val="15"/>
        </w:rPr>
        <w:t>Botulin at the neuromuscular junction. (a, b) Vacuoles normally release acetylcholine into the synapse; (c) botulin blocks the release, so the muscle cannot contract and the paralysis is flaccid . Copyright © The McGraw-Hill Companies. Source: Lecture 9 Dr. Webster Gram positive Bacilli.pptx,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Botulism</w:t>
            </w:r>
          </w:p>
        </w:tc>
      </w:tr>
      <w:tr>
        <w:tc>
          <w:tcPr>
            <w:tcW w:type="dxa" w:w="5112"/>
          </w:tcPr>
          <w:p>
            <w:pPr>
              <w:spacing w:after="40"/>
            </w:pPr>
            <w:r>
              <w:rPr>
                <w:sz w:val="18"/>
              </w:rPr>
            </w:r>
            <w:r>
              <w:rPr>
                <w:b w:val="0"/>
                <w:i w:val="0"/>
                <w:sz w:val="18"/>
              </w:rPr>
              <w:t>Symptoms</w:t>
            </w:r>
          </w:p>
        </w:tc>
        <w:tc>
          <w:tcPr>
            <w:tcW w:type="dxa" w:w="5112"/>
          </w:tcPr>
          <w:p>
            <w:pPr>
              <w:spacing w:after="40"/>
            </w:pPr>
            <w:r>
              <w:rPr>
                <w:sz w:val="18"/>
              </w:rPr>
            </w:r>
            <w:r>
              <w:rPr>
                <w:b/>
                <w:i w:val="0"/>
                <w:sz w:val="18"/>
              </w:rPr>
              <w:t>Double or blurred vision, difficulty swallowing, dizziness</w:t>
            </w:r>
            <w:r>
              <w:rPr>
                <w:b w:val="0"/>
                <w:i w:val="0"/>
                <w:sz w:val="18"/>
              </w:rPr>
              <w:t xml:space="preserve">; sometimes nausea and vomiting; </w:t>
            </w:r>
            <w:r>
              <w:rPr>
                <w:b/>
                <w:i w:val="0"/>
                <w:sz w:val="18"/>
              </w:rPr>
              <w:t>descending muscular paralysis</w:t>
            </w:r>
            <w:r>
              <w:rPr>
                <w:b w:val="0"/>
                <w:i w:val="0"/>
                <w:sz w:val="18"/>
              </w:rPr>
              <w:t>; respiratory compromise</w:t>
            </w:r>
          </w:p>
        </w:tc>
      </w:tr>
      <w:tr>
        <w:tc>
          <w:tcPr>
            <w:tcW w:type="dxa" w:w="5112"/>
          </w:tcPr>
          <w:p>
            <w:pPr>
              <w:spacing w:after="40"/>
            </w:pPr>
            <w:r>
              <w:rPr>
                <w:sz w:val="18"/>
              </w:rPr>
            </w:r>
            <w:r>
              <w:rPr>
                <w:b w:val="0"/>
                <w:i w:val="0"/>
                <w:sz w:val="18"/>
              </w:rPr>
              <w:t>Outcome</w:t>
            </w:r>
          </w:p>
        </w:tc>
        <w:tc>
          <w:tcPr>
            <w:tcW w:type="dxa" w:w="5112"/>
          </w:tcPr>
          <w:p>
            <w:pPr>
              <w:spacing w:after="40"/>
            </w:pPr>
            <w:r>
              <w:rPr>
                <w:sz w:val="18"/>
              </w:rPr>
            </w:r>
            <w:r>
              <w:rPr>
                <w:b w:val="0"/>
                <w:i w:val="0"/>
                <w:sz w:val="18"/>
              </w:rPr>
              <w:t xml:space="preserve">Mortality has fallen </w:t>
            </w:r>
            <w:r>
              <w:rPr>
                <w:b/>
                <w:i w:val="0"/>
                <w:sz w:val="18"/>
              </w:rPr>
              <w:t>because ventilators support breathing</w:t>
            </w:r>
            <w:r>
              <w:rPr>
                <w:b w:val="0"/>
                <w:i w:val="0"/>
                <w:sz w:val="18"/>
              </w:rPr>
              <w:t xml:space="preserve"> through the paralysis</w:t>
            </w:r>
          </w:p>
        </w:tc>
      </w:tr>
      <w:tr>
        <w:tc>
          <w:tcPr>
            <w:tcW w:type="dxa" w:w="5112"/>
          </w:tcPr>
          <w:p>
            <w:pPr>
              <w:spacing w:after="40"/>
            </w:pPr>
            <w:r>
              <w:rPr>
                <w:sz w:val="18"/>
              </w:rPr>
            </w:r>
            <w:r>
              <w:rPr>
                <w:b w:val="0"/>
                <w:i w:val="0"/>
                <w:sz w:val="18"/>
              </w:rPr>
              <w:t>Diagnosis and treatment</w:t>
            </w:r>
          </w:p>
        </w:tc>
        <w:tc>
          <w:tcPr>
            <w:tcW w:type="dxa" w:w="5112"/>
          </w:tcPr>
          <w:p>
            <w:pPr>
              <w:spacing w:after="40"/>
            </w:pPr>
            <w:r>
              <w:rPr>
                <w:sz w:val="18"/>
              </w:rPr>
            </w:r>
            <w:r>
              <w:rPr>
                <w:b w:val="0"/>
                <w:i w:val="0"/>
                <w:sz w:val="18"/>
              </w:rPr>
              <w:t xml:space="preserve">Find the toxin in the food, intestinal contents or feces; give </w:t>
            </w:r>
            <w:r>
              <w:rPr>
                <w:b/>
                <w:i w:val="0"/>
                <w:sz w:val="18"/>
              </w:rPr>
              <w:t>antitoxin with cardiac and respiratory support</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Proper preserving and handling of canned foods (sodium nitrite, salt or vinegar as preservatives); </w:t>
            </w:r>
            <w:r>
              <w:rPr>
                <w:b/>
                <w:i w:val="0"/>
                <w:sz w:val="18"/>
              </w:rPr>
              <w:t>discard bulging cans</w:t>
            </w:r>
            <w:r>
              <w:rPr>
                <w:b w:val="0"/>
                <w:i w:val="0"/>
                <w:sz w:val="18"/>
              </w:rPr>
              <w:t xml:space="preserve">; </w:t>
            </w:r>
            <w:r>
              <w:rPr>
                <w:b/>
                <w:i w:val="0"/>
                <w:sz w:val="18"/>
              </w:rPr>
              <w:t>boil home-bottled foods for at least 10 minutes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Form</w:t>
            </w:r>
          </w:p>
        </w:tc>
        <w:tc>
          <w:tcPr>
            <w:tcW w:type="dxa" w:w="5112"/>
            <w:shd w:val="clear" w:color="auto" w:fill="1F4D2B"/>
          </w:tcPr>
          <w:p>
            <w:pPr>
              <w:spacing w:after="40"/>
            </w:pPr>
            <w:r>
              <w:rPr>
                <w:b/>
                <w:color w:val="FFFFFF"/>
                <w:sz w:val="18"/>
              </w:rPr>
            </w:r>
            <w:r>
              <w:rPr>
                <w:b/>
                <w:i w:val="0"/>
                <w:color w:val="FFFFFF"/>
                <w:sz w:val="18"/>
              </w:rPr>
              <w:t>How it arises</w:t>
            </w:r>
          </w:p>
        </w:tc>
      </w:tr>
      <w:tr>
        <w:tc>
          <w:tcPr>
            <w:tcW w:type="dxa" w:w="5112"/>
          </w:tcPr>
          <w:p>
            <w:pPr>
              <w:spacing w:after="40"/>
            </w:pPr>
            <w:r>
              <w:rPr>
                <w:sz w:val="18"/>
              </w:rPr>
            </w:r>
            <w:r>
              <w:rPr>
                <w:b/>
                <w:i w:val="0"/>
                <w:sz w:val="18"/>
                <w:highlight w:val="yellow"/>
              </w:rPr>
              <w:t>Infant botulism</w:t>
            </w:r>
            <w:r>
              <w:rPr>
                <w:b w:val="0"/>
                <w:i w:val="0"/>
                <w:sz w:val="18"/>
                <w:highlight w:val="yellow"/>
              </w:rPr>
              <w:t xml:space="preserve"> — the most common form</w:t>
            </w:r>
            <w:r>
              <w:rPr>
                <w:b w:val="0"/>
                <w:i w:val="0"/>
                <w:sz w:val="18"/>
              </w:rPr>
              <w:t xml:space="preserve"> (up to 80% of cases each year; 66% in the 2021 national survey)</w:t>
            </w:r>
          </w:p>
        </w:tc>
        <w:tc>
          <w:tcPr>
            <w:tcW w:type="dxa" w:w="5112"/>
          </w:tcPr>
          <w:p>
            <w:pPr>
              <w:spacing w:after="40"/>
            </w:pPr>
            <w:r>
              <w:rPr>
                <w:sz w:val="18"/>
              </w:rPr>
            </w:r>
            <w:r>
              <w:rPr>
                <w:b/>
                <w:i w:val="0"/>
                <w:sz w:val="18"/>
              </w:rPr>
              <w:t>Ingested spores germinate and release toxin</w:t>
            </w:r>
            <w:r>
              <w:rPr>
                <w:b w:val="0"/>
                <w:i w:val="0"/>
                <w:sz w:val="18"/>
              </w:rPr>
              <w:t xml:space="preserve"> in the infant gut; flaccid paralysis, </w:t>
            </w:r>
            <w:r>
              <w:rPr>
                <w:b/>
                <w:i w:val="0"/>
                <w:sz w:val="18"/>
              </w:rPr>
              <w:t>“floppy baby syndrome”</w:t>
            </w:r>
            <w:r>
              <w:rPr>
                <w:b w:val="0"/>
                <w:i w:val="0"/>
                <w:sz w:val="18"/>
              </w:rPr>
              <w:t xml:space="preserve">. Associated with </w:t>
            </w:r>
            <w:r>
              <w:rPr>
                <w:b/>
                <w:i w:val="0"/>
                <w:sz w:val="18"/>
              </w:rPr>
              <w:t>honey</w:t>
            </w:r>
            <w:r>
              <w:rPr>
                <w:b w:val="0"/>
                <w:i w:val="0"/>
                <w:sz w:val="18"/>
              </w:rPr>
              <w:t xml:space="preserve"> or homemade baby food (honey pacifiers from Mexico, 2018; a contaminated baby formula outbreak, 2026)</w:t>
            </w:r>
          </w:p>
        </w:tc>
      </w:tr>
      <w:tr>
        <w:tc>
          <w:tcPr>
            <w:tcW w:type="dxa" w:w="5112"/>
          </w:tcPr>
          <w:p>
            <w:pPr>
              <w:spacing w:after="40"/>
            </w:pPr>
            <w:r>
              <w:rPr>
                <w:sz w:val="18"/>
              </w:rPr>
            </w:r>
            <w:r>
              <w:rPr>
                <w:b w:val="0"/>
                <w:i w:val="0"/>
                <w:sz w:val="18"/>
              </w:rPr>
              <w:t>Foodborne</w:t>
            </w:r>
          </w:p>
        </w:tc>
        <w:tc>
          <w:tcPr>
            <w:tcW w:type="dxa" w:w="5112"/>
          </w:tcPr>
          <w:p>
            <w:pPr>
              <w:spacing w:after="40"/>
            </w:pPr>
            <w:r>
              <w:rPr>
                <w:sz w:val="18"/>
              </w:rPr>
            </w:r>
            <w:r>
              <w:rPr>
                <w:b w:val="0"/>
                <w:i w:val="0"/>
                <w:sz w:val="18"/>
              </w:rPr>
              <w:t>Eating toxin made in improperly preserved, usually home-canned, food</w:t>
            </w:r>
          </w:p>
        </w:tc>
      </w:tr>
      <w:tr>
        <w:tc>
          <w:tcPr>
            <w:tcW w:type="dxa" w:w="5112"/>
          </w:tcPr>
          <w:p>
            <w:pPr>
              <w:spacing w:after="40"/>
            </w:pPr>
            <w:r>
              <w:rPr>
                <w:sz w:val="18"/>
              </w:rPr>
            </w:r>
            <w:r>
              <w:rPr>
                <w:b w:val="0"/>
                <w:i w:val="0"/>
                <w:sz w:val="18"/>
              </w:rPr>
              <w:t>Wound</w:t>
            </w:r>
          </w:p>
        </w:tc>
        <w:tc>
          <w:tcPr>
            <w:tcW w:type="dxa" w:w="5112"/>
          </w:tcPr>
          <w:p>
            <w:pPr>
              <w:spacing w:after="40"/>
            </w:pPr>
            <w:r>
              <w:rPr>
                <w:sz w:val="18"/>
              </w:rPr>
            </w:r>
            <w:r>
              <w:rPr>
                <w:b w:val="0"/>
                <w:i w:val="0"/>
                <w:sz w:val="18"/>
              </w:rPr>
              <w:t xml:space="preserve">Spores enter a wound and cause the food poisoning symptoms; </w:t>
            </w:r>
            <w:r>
              <w:rPr>
                <w:b/>
                <w:i w:val="0"/>
                <w:sz w:val="18"/>
              </w:rPr>
              <w:t>intravenous drug users, often with black tar heroin</w:t>
            </w:r>
          </w:p>
        </w:tc>
      </w:tr>
      <w:tr>
        <w:tc>
          <w:tcPr>
            <w:tcW w:type="dxa" w:w="5112"/>
          </w:tcPr>
          <w:p>
            <w:pPr>
              <w:spacing w:after="40"/>
            </w:pPr>
            <w:r>
              <w:rPr>
                <w:sz w:val="18"/>
              </w:rPr>
            </w:r>
            <w:r>
              <w:rPr>
                <w:b w:val="0"/>
                <w:i w:val="0"/>
                <w:sz w:val="18"/>
              </w:rPr>
              <w:t>Iatrogenic</w:t>
            </w:r>
          </w:p>
        </w:tc>
        <w:tc>
          <w:tcPr>
            <w:tcW w:type="dxa" w:w="5112"/>
          </w:tcPr>
          <w:p>
            <w:pPr>
              <w:spacing w:after="40"/>
            </w:pPr>
            <w:r>
              <w:rPr>
                <w:sz w:val="18"/>
              </w:rPr>
            </w:r>
            <w:r>
              <w:rPr>
                <w:b/>
                <w:i w:val="0"/>
                <w:sz w:val="18"/>
              </w:rPr>
              <w:t>Cosmetic or therapeutic procedures using botulinum toxin cause systemic intoxication</w:t>
            </w:r>
          </w:p>
        </w:tc>
      </w:tr>
      <w:tr>
        <w:tc>
          <w:tcPr>
            <w:tcW w:type="dxa" w:w="5112"/>
          </w:tcPr>
          <w:p>
            <w:pPr>
              <w:spacing w:after="40"/>
            </w:pPr>
            <w:r>
              <w:rPr>
                <w:sz w:val="18"/>
              </w:rPr>
            </w:r>
            <w:r>
              <w:rPr>
                <w:b w:val="0"/>
                <w:i w:val="0"/>
                <w:sz w:val="18"/>
              </w:rPr>
              <w:t>Intestinal colonization</w:t>
            </w:r>
          </w:p>
        </w:tc>
        <w:tc>
          <w:tcPr>
            <w:tcW w:type="dxa" w:w="5112"/>
          </w:tcPr>
          <w:p>
            <w:pPr>
              <w:spacing w:after="40"/>
            </w:pPr>
            <w:r>
              <w:rPr>
                <w:sz w:val="18"/>
              </w:rPr>
            </w:r>
            <w:r>
              <w:rPr>
                <w:b w:val="0"/>
                <w:i w:val="0"/>
                <w:sz w:val="18"/>
              </w:rPr>
              <w:t xml:space="preserve">A person </w:t>
            </w:r>
            <w:r>
              <w:rPr>
                <w:b/>
                <w:i w:val="0"/>
                <w:sz w:val="18"/>
              </w:rPr>
              <w:t>over age 1</w:t>
            </w:r>
            <w:r>
              <w:rPr>
                <w:b w:val="0"/>
                <w:i w:val="0"/>
                <w:sz w:val="18"/>
              </w:rPr>
              <w:t xml:space="preserve"> harbors the toxin in the intestinal tract</w:t>
            </w:r>
          </w:p>
        </w:tc>
      </w:tr>
    </w:tbl>
    <w:p>
      <w:pPr>
        <w:spacing w:after="80"/>
      </w:pPr>
    </w:p>
    <w:p>
      <w:pPr>
        <w:jc w:val="center"/>
      </w:pPr>
      <w:r>
        <w:drawing>
          <wp:inline xmlns:a="http://schemas.openxmlformats.org/drawingml/2006/main" xmlns:pic="http://schemas.openxmlformats.org/drawingml/2006/picture">
            <wp:extent cx="3840480" cy="2982020"/>
            <wp:docPr id="29" name="Picture 29"/>
            <wp:cNvGraphicFramePr>
              <a:graphicFrameLocks noChangeAspect="1"/>
            </wp:cNvGraphicFramePr>
            <a:graphic>
              <a:graphicData uri="http://schemas.openxmlformats.org/drawingml/2006/picture">
                <pic:pic>
                  <pic:nvPicPr>
                    <pic:cNvPr id="0" name="Microbiology_Exam_2_micro-exam-2-study-guide-images_l10-s38-floppy-baby.jpg"/>
                    <pic:cNvPicPr/>
                  </pic:nvPicPr>
                  <pic:blipFill>
                    <a:blip r:embed="rId37"/>
                    <a:stretch>
                      <a:fillRect/>
                    </a:stretch>
                  </pic:blipFill>
                  <pic:spPr>
                    <a:xfrm>
                      <a:off x="0" y="0"/>
                      <a:ext cx="3840480" cy="2982020"/>
                    </a:xfrm>
                    <a:prstGeom prst="rect"/>
                  </pic:spPr>
                </pic:pic>
              </a:graphicData>
            </a:graphic>
          </wp:inline>
        </w:drawing>
      </w:r>
    </w:p>
    <w:p>
      <w:pPr>
        <w:spacing w:after="160"/>
        <w:jc w:val="center"/>
      </w:pPr>
      <w:r>
        <w:rPr>
          <w:sz w:val="15"/>
        </w:rPr>
        <w:t>Floppy baby syndrome. Infant botulism: no muscle tone, the limbs hanging limp. The rigid, arched newborn of neonatal tetanus (slide 31) is its spastic opposite. Source: Lecture 9 Dr. Webster Gram positive Bacilli.pptx, Slide 38.</w:t>
      </w:r>
    </w:p>
    <w:p>
      <w:pPr>
        <w:pStyle w:val="Heading2"/>
        <w:spacing w:before="200" w:after="100"/>
      </w:pPr>
      <w:r>
        <w:rPr>
          <w:rFonts w:ascii="Georgia" w:hAnsi="Georgia"/>
          <w:color w:val="1F4D2B"/>
        </w:rPr>
        <w:t>10.7 · Objective 1 — Clostridioides difficile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Clostridioides difficile</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val="0"/>
                <w:i w:val="0"/>
                <w:sz w:val="18"/>
              </w:rPr>
              <w:t xml:space="preserve">Formerly </w:t>
            </w:r>
            <w:r>
              <w:rPr>
                <w:b w:val="0"/>
                <w:i/>
                <w:sz w:val="18"/>
              </w:rPr>
              <w:t>Clostridium</w:t>
            </w:r>
            <w:r>
              <w:rPr>
                <w:b w:val="0"/>
                <w:i w:val="0"/>
                <w:sz w:val="18"/>
              </w:rPr>
              <w:t xml:space="preserve">, but </w:t>
            </w:r>
            <w:r>
              <w:rPr>
                <w:b/>
                <w:i w:val="0"/>
                <w:sz w:val="18"/>
              </w:rPr>
              <w:t>differentiated by ribonucleic acid sequencing</w:t>
            </w:r>
            <w:r>
              <w:rPr>
                <w:b w:val="0"/>
                <w:i w:val="0"/>
                <w:sz w:val="18"/>
              </w:rPr>
              <w:t xml:space="preserve"> into its own genus</w:t>
            </w:r>
          </w:p>
        </w:tc>
      </w:tr>
      <w:tr>
        <w:tc>
          <w:tcPr>
            <w:tcW w:type="dxa" w:w="5112"/>
          </w:tcPr>
          <w:p>
            <w:pPr>
              <w:spacing w:after="40"/>
            </w:pPr>
            <w:r>
              <w:rPr>
                <w:sz w:val="18"/>
              </w:rPr>
            </w:r>
            <w:r>
              <w:rPr>
                <w:b w:val="0"/>
                <w:i w:val="0"/>
                <w:sz w:val="18"/>
              </w:rPr>
              <w:t>Habitat</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relatively non-invasive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i w:val="0"/>
                <w:sz w:val="18"/>
              </w:rPr>
              <w:t>Broad-spectrum antibiotics kill the other bacteria</w:t>
            </w:r>
            <w:r>
              <w:rPr>
                <w:b w:val="0"/>
                <w:i w:val="0"/>
                <w:sz w:val="18"/>
              </w:rPr>
              <w:t xml:space="preserve">, letting it overgrow; it </w:t>
            </w:r>
            <w:r>
              <w:rPr>
                <w:b/>
                <w:i w:val="0"/>
                <w:sz w:val="18"/>
              </w:rPr>
              <w:t>produces enterotoxins that damage the intestines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sz w:val="18"/>
              </w:rPr>
              <w:t>C. difficile</w:t>
            </w:r>
            <w:r>
              <w:rPr>
                <w:b w:val="0"/>
                <w:i w:val="0"/>
                <w:sz w:val="18"/>
              </w:rPr>
              <w:t xml:space="preserve">-associated disease: </w:t>
            </w:r>
            <w:r>
              <w:rPr>
                <w:b/>
                <w:i w:val="0"/>
                <w:sz w:val="18"/>
              </w:rPr>
              <w:t>antibiotic-associated (pseudomembranous) colitis, toxic megacolon, perforation of the colon</w:t>
            </w:r>
            <w:r>
              <w:rPr>
                <w:b w:val="0"/>
                <w:i w:val="0"/>
                <w:sz w:val="18"/>
              </w:rPr>
              <w:t xml:space="preserve">. A </w:t>
            </w:r>
            <w:r>
              <w:rPr>
                <w:b/>
                <w:i w:val="0"/>
                <w:sz w:val="18"/>
              </w:rPr>
              <w:t>major cause of diarrhea in hospitals</w:t>
            </w:r>
            <w:r>
              <w:rPr>
                <w:b w:val="0"/>
                <w:i w:val="0"/>
                <w:sz w:val="18"/>
              </w:rPr>
              <w:t>; increasingly common in community-acquired diarrhea; a 2005 strain makes far more exotoxin; named one of the top three antibiotic-related threats (with carbapenem-resistant Enterobacterales and drug-resistant gonorrhea)</w:t>
            </w:r>
          </w:p>
        </w:tc>
      </w:tr>
      <w:tr>
        <w:tc>
          <w:tcPr>
            <w:tcW w:type="dxa" w:w="5112"/>
          </w:tcPr>
          <w:p>
            <w:pPr>
              <w:spacing w:after="40"/>
            </w:pPr>
            <w:r>
              <w:rPr>
                <w:sz w:val="18"/>
              </w:rPr>
            </w:r>
            <w:r>
              <w:rPr>
                <w:b w:val="0"/>
                <w:i w:val="0"/>
                <w:sz w:val="18"/>
              </w:rPr>
              <w:t>Populations at risk</w:t>
            </w:r>
          </w:p>
        </w:tc>
        <w:tc>
          <w:tcPr>
            <w:tcW w:type="dxa" w:w="5112"/>
          </w:tcPr>
          <w:p>
            <w:pPr>
              <w:spacing w:after="40"/>
            </w:pPr>
            <w:r>
              <w:rPr>
                <w:sz w:val="18"/>
              </w:rPr>
            </w:r>
            <w:r>
              <w:rPr>
                <w:b w:val="0"/>
                <w:i w:val="0"/>
                <w:sz w:val="18"/>
              </w:rPr>
              <w:t xml:space="preserve">Antibiotic exposure (70% of cases used antibiotics in the prior 12 weeks); gastrointestinal surgery; long stays in healthcare settings; serious underlying illness; immunocompromise; advanced age; </w:t>
            </w:r>
            <w:r>
              <w:rPr>
                <w:b/>
                <w:i w:val="0"/>
                <w:sz w:val="18"/>
              </w:rPr>
              <w:t>gastric acid inhibitors such as famotidine (Pepcid) and omeprazole (Prilosec)</w:t>
            </w:r>
            <w:r>
              <w:rPr>
                <w:b w:val="0"/>
                <w:i w:val="0"/>
                <w:sz w:val="18"/>
              </w:rPr>
              <w:t>; trehalose sugar</w:t>
            </w:r>
          </w:p>
        </w:tc>
      </w:tr>
      <w:tr>
        <w:tc>
          <w:tcPr>
            <w:tcW w:type="dxa" w:w="5112"/>
          </w:tcPr>
          <w:p>
            <w:pPr>
              <w:spacing w:after="40"/>
            </w:pPr>
            <w:r>
              <w:rPr>
                <w:sz w:val="18"/>
              </w:rPr>
            </w:r>
            <w:r>
              <w:rPr>
                <w:b w:val="0"/>
                <w:i w:val="0"/>
                <w:sz w:val="18"/>
              </w:rPr>
              <w:t>Progression</w:t>
            </w:r>
          </w:p>
        </w:tc>
        <w:tc>
          <w:tcPr>
            <w:tcW w:type="dxa" w:w="5112"/>
          </w:tcPr>
          <w:p>
            <w:pPr>
              <w:spacing w:after="40"/>
            </w:pPr>
            <w:r>
              <w:rPr>
                <w:sz w:val="18"/>
              </w:rPr>
            </w:r>
            <w:r>
              <w:rPr>
                <w:b w:val="0"/>
                <w:i w:val="0"/>
                <w:sz w:val="18"/>
              </w:rPr>
              <w:t xml:space="preserve">Watery diarrhea, fever, loss of appetite, nausea, abdominal pain and tenderness, then </w:t>
            </w:r>
            <w:r>
              <w:rPr>
                <w:b/>
                <w:i w:val="0"/>
                <w:sz w:val="18"/>
              </w:rPr>
              <w:t>the intestinal lining becomes necrotic and sloughs off as the pseudomembrane</w:t>
            </w:r>
            <w:r>
              <w:rPr>
                <w:b w:val="0"/>
                <w:i w:val="0"/>
                <w:sz w:val="18"/>
              </w:rPr>
              <w:t>, and the wall can perforate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Mild cases: fluid and electrolyte replacement and withdrawal of the antimicrobial</w:t>
            </w:r>
            <w:r>
              <w:rPr>
                <w:b w:val="0"/>
                <w:i w:val="0"/>
                <w:sz w:val="18"/>
              </w:rPr>
              <w:t xml:space="preserve"> (withdrawing the inciting antimicrobial is part of managing every case). Severe cases: oral antibiotics (see 10.15). </w:t>
            </w:r>
            <w:r>
              <w:rPr>
                <w:b/>
                <w:i w:val="0"/>
                <w:sz w:val="18"/>
              </w:rPr>
              <w:t>Fecal microbiota transplant</w:t>
            </w:r>
            <w:r>
              <w:rPr>
                <w:b w:val="0"/>
                <w:i w:val="0"/>
                <w:sz w:val="18"/>
              </w:rPr>
              <w:t xml:space="preserve">: donor cultures by colonoscope or nasogastric tube, or as capsules, </w:t>
            </w:r>
            <w:r>
              <w:rPr>
                <w:b/>
                <w:i w:val="0"/>
                <w:sz w:val="18"/>
              </w:rPr>
              <w:t>restoring the normal flora</w:t>
            </w:r>
            <w:r>
              <w:rPr>
                <w:b w:val="0"/>
                <w:i w:val="0"/>
                <w:sz w:val="18"/>
              </w:rPr>
              <w:t xml:space="preserve"> (as much as 90% effective)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Increased precautions to prevent spread</w:t>
            </w:r>
          </w:p>
        </w:tc>
      </w:tr>
    </w:tbl>
    <w:p>
      <w:pPr>
        <w:spacing w:after="80"/>
      </w:pPr>
    </w:p>
    <w:p>
      <w:pPr>
        <w:jc w:val="center"/>
      </w:pPr>
      <w:r>
        <w:drawing>
          <wp:inline xmlns:a="http://schemas.openxmlformats.org/drawingml/2006/main" xmlns:pic="http://schemas.openxmlformats.org/drawingml/2006/picture">
            <wp:extent cx="3840480" cy="6167611"/>
            <wp:docPr id="30" name="Picture 30"/>
            <wp:cNvGraphicFramePr>
              <a:graphicFrameLocks noChangeAspect="1"/>
            </wp:cNvGraphicFramePr>
            <a:graphic>
              <a:graphicData uri="http://schemas.openxmlformats.org/drawingml/2006/picture">
                <pic:pic>
                  <pic:nvPicPr>
                    <pic:cNvPr id="0" name="Microbiology_Exam_2_micro-exam-2-study-guide-images_l10-s47-pseudomembranous-colitis.jpg"/>
                    <pic:cNvPicPr/>
                  </pic:nvPicPr>
                  <pic:blipFill>
                    <a:blip r:embed="rId38"/>
                    <a:stretch>
                      <a:fillRect/>
                    </a:stretch>
                  </pic:blipFill>
                  <pic:spPr>
                    <a:xfrm>
                      <a:off x="0" y="0"/>
                      <a:ext cx="3840480" cy="6167611"/>
                    </a:xfrm>
                    <a:prstGeom prst="rect"/>
                  </pic:spPr>
                </pic:pic>
              </a:graphicData>
            </a:graphic>
          </wp:inline>
        </w:drawing>
      </w:r>
    </w:p>
    <w:p>
      <w:pPr>
        <w:spacing w:after="160"/>
        <w:jc w:val="center"/>
      </w:pPr>
      <w:r>
        <w:rPr>
          <w:sz w:val="15"/>
        </w:rPr>
        <w:t>Pseudomembranous colitis. (a) Normal colon; (b) the raised yellow-white plaques of antibiotic-associated colitis — sloughed, necrotic intestinal lining. Source: Lecture 9 Dr. Webster Gram positive Bacilli.pptx, Slide 47.</w:t>
      </w:r>
    </w:p>
    <w:p>
      <w:pPr>
        <w:pStyle w:val="Heading2"/>
        <w:spacing w:before="200" w:after="100"/>
      </w:pPr>
      <w:r>
        <w:rPr>
          <w:rFonts w:ascii="Georgia" w:hAnsi="Georgia"/>
          <w:color w:val="1F4D2B"/>
        </w:rPr>
        <w:t>10.8 · Objective 1 — Regular non-spore-formers: Lactobacillus and Listeria</w:t>
      </w:r>
    </w:p>
    <w:p>
      <w:pPr>
        <w:spacing w:after="120"/>
      </w:pPr>
      <w:r>
        <w:rPr>
          <w:b/>
          <w:i/>
        </w:rPr>
        <w:t>Lactobacillus</w:t>
      </w:r>
      <w:r>
        <w:rPr>
          <w:b w:val="0"/>
          <w:i w:val="0"/>
        </w:rPr>
        <w:t xml:space="preserve"> (</w:t>
      </w:r>
      <w:r>
        <w:rPr>
          <w:b w:val="0"/>
          <w:i/>
        </w:rPr>
        <w:t>L. acidophilus</w:t>
      </w:r>
      <w:r>
        <w:rPr>
          <w:b w:val="0"/>
          <w:i w:val="0"/>
        </w:rPr>
        <w:t xml:space="preserve">, </w:t>
      </w:r>
      <w:r>
        <w:rPr>
          <w:b w:val="0"/>
          <w:i/>
        </w:rPr>
        <w:t>L. salivarius</w:t>
      </w:r>
      <w:r>
        <w:rPr>
          <w:b w:val="0"/>
          <w:i w:val="0"/>
        </w:rPr>
        <w:t xml:space="preserve">, </w:t>
      </w:r>
      <w:r>
        <w:rPr>
          <w:b w:val="0"/>
          <w:i/>
        </w:rPr>
        <w:t>L. fermentum</w:t>
      </w:r>
      <w:r>
        <w:rPr>
          <w:b w:val="0"/>
          <w:i w:val="0"/>
        </w:rPr>
        <w:t xml:space="preserve">) is beneficial normal flora of the intestinal and vaginal tracts. </w:t>
      </w:r>
      <w:r>
        <w:rPr>
          <w:b/>
          <w:i w:val="0"/>
        </w:rPr>
        <w:t>It produces lactic acid, acetic acid, hydrogen peroxide and other antimicrobial substances that inhibit pathogens.</w:t>
      </w:r>
      <w:r>
        <w:rPr>
          <w:b/>
          <w:i w:val="0"/>
        </w:rPr>
        <w:t>Antibiotic therapy can interrupt its activity and allow a superinfection by an opportunist</w:t>
      </w:r>
      <w:r>
        <w:rPr>
          <w:b w:val="0"/>
          <w:i w:val="0"/>
        </w:rPr>
        <w:t xml:space="preserve"> (the recording’s example: a vaginal yeast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Listeria monocytogenes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Non-spore-forming Gram-positive, ranging </w:t>
            </w:r>
            <w:r>
              <w:rPr>
                <w:b/>
                <w:i w:val="0"/>
                <w:sz w:val="18"/>
              </w:rPr>
              <w:t>from coccobacilli to long filaments</w:t>
            </w:r>
            <w:r>
              <w:rPr>
                <w:b w:val="0"/>
                <w:i w:val="0"/>
                <w:sz w:val="18"/>
              </w:rPr>
              <w:t xml:space="preserve">; 1–4 flagella; </w:t>
            </w:r>
            <w:r>
              <w:rPr>
                <w:b/>
                <w:i w:val="0"/>
                <w:sz w:val="18"/>
              </w:rPr>
              <w:t>no capsule</w:t>
            </w:r>
          </w:p>
        </w:tc>
      </w:tr>
      <w:tr>
        <w:tc>
          <w:tcPr>
            <w:tcW w:type="dxa" w:w="5112"/>
          </w:tcPr>
          <w:p>
            <w:pPr>
              <w:spacing w:after="40"/>
            </w:pPr>
            <w:r>
              <w:rPr>
                <w:sz w:val="18"/>
              </w:rPr>
            </w:r>
            <w:r>
              <w:rPr>
                <w:b w:val="0"/>
                <w:i w:val="0"/>
                <w:sz w:val="18"/>
              </w:rPr>
              <w:t>Hardiness</w:t>
            </w:r>
          </w:p>
        </w:tc>
        <w:tc>
          <w:tcPr>
            <w:tcW w:type="dxa" w:w="5112"/>
          </w:tcPr>
          <w:p>
            <w:pPr>
              <w:spacing w:after="40"/>
            </w:pPr>
            <w:r>
              <w:rPr>
                <w:sz w:val="18"/>
              </w:rPr>
            </w:r>
            <w:r>
              <w:rPr>
                <w:b w:val="0"/>
                <w:i w:val="0"/>
                <w:sz w:val="18"/>
              </w:rPr>
              <w:t>Resistant to cold, heat, salt, pH extremes and bile (but killed by pasteurization and cooking)</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val="0"/>
                <w:i w:val="0"/>
                <w:sz w:val="18"/>
              </w:rPr>
              <w:t xml:space="preserve">Induces phagocytosis and then </w:t>
            </w:r>
            <w:r>
              <w:rPr>
                <w:b/>
                <w:i w:val="0"/>
                <w:sz w:val="18"/>
              </w:rPr>
              <w:t>replicates in the cytoplasm of host cells</w:t>
            </w:r>
            <w:r>
              <w:rPr>
                <w:b w:val="0"/>
                <w:i w:val="0"/>
                <w:sz w:val="18"/>
              </w:rPr>
              <w:t xml:space="preserve">, which lets it </w:t>
            </w:r>
            <w:r>
              <w:rPr>
                <w:b/>
                <w:i w:val="0"/>
                <w:sz w:val="18"/>
              </w:rPr>
              <w:t>avoid the humoral immune system</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val="0"/>
                <w:i w:val="0"/>
                <w:sz w:val="18"/>
              </w:rPr>
              <w:t xml:space="preserve">Primary reservoir </w:t>
            </w:r>
            <w:r>
              <w:rPr>
                <w:b/>
                <w:i w:val="0"/>
                <w:sz w:val="18"/>
              </w:rPr>
              <w:t>soil and water</w:t>
            </w:r>
            <w:r>
              <w:rPr>
                <w:b w:val="0"/>
                <w:i w:val="0"/>
                <w:sz w:val="18"/>
              </w:rPr>
              <w:t>; animal intestines</w:t>
            </w:r>
          </w:p>
        </w:tc>
      </w:tr>
      <w:tr>
        <w:tc>
          <w:tcPr>
            <w:tcW w:type="dxa" w:w="5112"/>
          </w:tcPr>
          <w:p>
            <w:pPr>
              <w:spacing w:after="40"/>
            </w:pPr>
            <w:r>
              <w:rPr>
                <w:sz w:val="18"/>
              </w:rPr>
            </w:r>
            <w:r>
              <w:rPr>
                <w:b w:val="0"/>
                <w:i w:val="0"/>
                <w:sz w:val="18"/>
              </w:rPr>
              <w:t>Food</w:t>
            </w:r>
          </w:p>
        </w:tc>
        <w:tc>
          <w:tcPr>
            <w:tcW w:type="dxa" w:w="5112"/>
          </w:tcPr>
          <w:p>
            <w:pPr>
              <w:spacing w:after="40"/>
            </w:pPr>
            <w:r>
              <w:rPr>
                <w:sz w:val="18"/>
              </w:rPr>
            </w:r>
            <w:r>
              <w:rPr>
                <w:b w:val="0"/>
                <w:i w:val="0"/>
                <w:sz w:val="18"/>
              </w:rPr>
              <w:t xml:space="preserve">Contaminates foods and </w:t>
            </w:r>
            <w:r>
              <w:rPr>
                <w:b/>
                <w:i w:val="0"/>
                <w:sz w:val="18"/>
              </w:rPr>
              <w:t>grows during refrigeration</w:t>
            </w:r>
            <w:r>
              <w:rPr>
                <w:b w:val="0"/>
                <w:i w:val="0"/>
                <w:sz w:val="18"/>
              </w:rPr>
              <w:t xml:space="preserve">. Most listeriosis comes from </w:t>
            </w:r>
            <w:r>
              <w:rPr>
                <w:b/>
                <w:i w:val="0"/>
                <w:sz w:val="18"/>
              </w:rPr>
              <w:t>dairy products, poultry and meat</w:t>
            </w:r>
            <w:r>
              <w:rPr>
                <w:b w:val="0"/>
                <w:i w:val="0"/>
                <w:sz w:val="18"/>
              </w:rPr>
              <w:t xml:space="preserve"> (found in 12% of ground beef and 15% of chicken tested); the most recent outbreak was dairy</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Often mild or subclinical in healthy adults (fever, diarrhea, sore throat). In </w:t>
            </w:r>
            <w:r>
              <w:rPr>
                <w:b/>
                <w:i w:val="0"/>
                <w:sz w:val="18"/>
              </w:rPr>
              <w:t>immunocompromised patients, fetuses and neonates it affects the brain and meninges</w:t>
            </w:r>
            <w:r>
              <w:rPr>
                <w:b w:val="0"/>
                <w:i w:val="0"/>
                <w:sz w:val="18"/>
              </w:rPr>
              <w:t>, with fetal loss and newborn deaths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Culture requires a lengthy cold enrichment process</w:t>
            </w:r>
            <w:r>
              <w:rPr>
                <w:b w:val="0"/>
                <w:i w:val="0"/>
                <w:sz w:val="18"/>
              </w:rPr>
              <w:t>; rapid tests by enzyme-linked immunosorbent assay, immunofluorescence and nucleic acid analysis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Pasteurization and cooking</w:t>
            </w:r>
            <w:r>
              <w:rPr>
                <w:b w:val="0"/>
                <w:i w:val="0"/>
                <w:sz w:val="18"/>
              </w:rPr>
              <w:t xml:space="preserve"> (refrigeration does not stop it)</w:t>
            </w:r>
          </w:p>
        </w:tc>
      </w:tr>
    </w:tbl>
    <w:p>
      <w:pPr>
        <w:spacing w:after="80"/>
      </w:pPr>
    </w:p>
    <w:p>
      <w:pPr>
        <w:jc w:val="center"/>
      </w:pPr>
      <w:r>
        <w:drawing>
          <wp:inline xmlns:a="http://schemas.openxmlformats.org/drawingml/2006/main" xmlns:pic="http://schemas.openxmlformats.org/drawingml/2006/picture">
            <wp:extent cx="3840480" cy="6580405"/>
            <wp:docPr id="31" name="Picture 31"/>
            <wp:cNvGraphicFramePr>
              <a:graphicFrameLocks noChangeAspect="1"/>
            </wp:cNvGraphicFramePr>
            <a:graphic>
              <a:graphicData uri="http://schemas.openxmlformats.org/drawingml/2006/picture">
                <pic:pic>
                  <pic:nvPicPr>
                    <pic:cNvPr id="0" name="Microbiology_Exam_2_micro-exam-2-study-guide-images_l10-s54-listeria-cycle.jpg"/>
                    <pic:cNvPicPr/>
                  </pic:nvPicPr>
                  <pic:blipFill>
                    <a:blip r:embed="rId39"/>
                    <a:stretch>
                      <a:fillRect/>
                    </a:stretch>
                  </pic:blipFill>
                  <pic:spPr>
                    <a:xfrm>
                      <a:off x="0" y="0"/>
                      <a:ext cx="3840480" cy="6580405"/>
                    </a:xfrm>
                    <a:prstGeom prst="rect"/>
                  </pic:spPr>
                </pic:pic>
              </a:graphicData>
            </a:graphic>
          </wp:inline>
        </w:drawing>
      </w:r>
    </w:p>
    <w:p>
      <w:pPr>
        <w:spacing w:after="160"/>
        <w:jc w:val="center"/>
      </w:pPr>
      <w:r>
        <w:rPr>
          <w:sz w:val="15"/>
        </w:rPr>
        <w:t>How Listeria stays out of reach of antibody. (a) It induces its own uptake, (b) escapes the vacuole, (c) multiplies in the cytoplasm, and (d) passes directly into the neighboring cell without ever leaving the cells. Source: Lecture 9 Dr. Webster Gram positive Bacilli.pptx, Slide 54.</w:t>
      </w:r>
    </w:p>
    <w:p>
      <w:pPr>
        <w:spacing w:after="120"/>
      </w:pPr>
      <w:r>
        <w:rPr>
          <w:b w:val="0"/>
          <w:i/>
        </w:rPr>
        <w:t>Erysipelothrix rhusiopathiae</w:t>
      </w:r>
      <w:r>
        <w:rPr>
          <w:b w:val="0"/>
          <w:i w:val="0"/>
        </w:rPr>
        <w:t xml:space="preserve"> (slides 57–58; de-emphasized in the recording): a Gram-positive rod of animals and the environment whose primary reservoir is </w:t>
      </w:r>
      <w:r>
        <w:rPr>
          <w:b/>
          <w:i w:val="0"/>
        </w:rPr>
        <w:t>the tonsils of healthy pigs</w:t>
      </w:r>
      <w:r>
        <w:rPr>
          <w:b w:val="0"/>
          <w:i w:val="0"/>
        </w:rPr>
        <w:t>; it enters through skin abrasions and produces erysipeloid, dark red lesions on the hand; rarely septicemia or endocarditis; pigs are vaccinated.</w:t>
      </w:r>
    </w:p>
    <w:p>
      <w:pPr>
        <w:pStyle w:val="Heading2"/>
        <w:spacing w:before="200" w:after="100"/>
      </w:pPr>
      <w:r>
        <w:rPr>
          <w:rFonts w:ascii="Georgia" w:hAnsi="Georgia"/>
          <w:color w:val="1F4D2B"/>
        </w:rPr>
        <w:t>10.9 · Objective 1 — Corynebacterium diphtheriae</w:t>
      </w:r>
    </w:p>
    <w:p>
      <w:pPr>
        <w:jc w:val="center"/>
      </w:pPr>
      <w:r>
        <w:drawing>
          <wp:inline xmlns:a="http://schemas.openxmlformats.org/drawingml/2006/main" xmlns:pic="http://schemas.openxmlformats.org/drawingml/2006/picture">
            <wp:extent cx="3840480" cy="2904449"/>
            <wp:docPr id="32" name="Picture 32"/>
            <wp:cNvGraphicFramePr>
              <a:graphicFrameLocks noChangeAspect="1"/>
            </wp:cNvGraphicFramePr>
            <a:graphic>
              <a:graphicData uri="http://schemas.openxmlformats.org/drawingml/2006/picture">
                <pic:pic>
                  <pic:nvPicPr>
                    <pic:cNvPr id="0" name="Microbiology_Exam_2_micro-exam-2-study-guide-images_l10-s60-diphtheriae-stain.jpg"/>
                    <pic:cNvPicPr/>
                  </pic:nvPicPr>
                  <pic:blipFill>
                    <a:blip r:embed="rId40"/>
                    <a:stretch>
                      <a:fillRect/>
                    </a:stretch>
                  </pic:blipFill>
                  <pic:spPr>
                    <a:xfrm>
                      <a:off x="0" y="0"/>
                      <a:ext cx="3840480" cy="2904449"/>
                    </a:xfrm>
                    <a:prstGeom prst="rect"/>
                  </pic:spPr>
                </pic:pic>
              </a:graphicData>
            </a:graphic>
          </wp:inline>
        </w:drawing>
      </w:r>
    </w:p>
    <w:p>
      <w:pPr>
        <w:spacing w:after="160"/>
        <w:jc w:val="center"/>
      </w:pPr>
      <w:r>
        <w:rPr>
          <w:sz w:val="15"/>
        </w:rPr>
        <w:t>Irregular rods. Pleomorphic cells, the palisade arrangement (rods lying side by side, like a fence, rather than end to end in a chain) and granules. Source: Lecture 9 Dr. Webster Gram positive Bacilli.pptx, Slide 60.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Diphtheria</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i w:val="0"/>
                <w:sz w:val="18"/>
              </w:rPr>
              <w:t>Healthy human carriers</w:t>
            </w:r>
            <w:r>
              <w:rPr>
                <w:b w:val="0"/>
                <w:i w:val="0"/>
                <w:sz w:val="18"/>
              </w:rPr>
              <w:t>, so the potential for diphtheria is always present; respiratory diphtheria is rare in the United States</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i w:val="0"/>
                <w:sz w:val="18"/>
              </w:rPr>
              <w:t>Non-immunized children</w:t>
            </w:r>
            <w:r>
              <w:rPr>
                <w:b w:val="0"/>
                <w:i w:val="0"/>
                <w:sz w:val="18"/>
              </w:rPr>
              <w:t xml:space="preserve"> living in crowded, unsanitary conditions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Respiratory droplets</w:t>
            </w:r>
            <w:r>
              <w:rPr>
                <w:b w:val="0"/>
                <w:i w:val="0"/>
                <w:sz w:val="18"/>
              </w:rPr>
              <w:t xml:space="preserve"> from carriers or actively infected people</w:t>
            </w:r>
          </w:p>
        </w:tc>
      </w:tr>
      <w:tr>
        <w:tc>
          <w:tcPr>
            <w:tcW w:type="dxa" w:w="5112"/>
          </w:tcPr>
          <w:p>
            <w:pPr>
              <w:spacing w:after="40"/>
            </w:pPr>
            <w:r>
              <w:rPr>
                <w:sz w:val="18"/>
              </w:rPr>
            </w:r>
            <w:r>
              <w:rPr>
                <w:b w:val="0"/>
                <w:i w:val="0"/>
                <w:sz w:val="18"/>
              </w:rPr>
              <w:t>Forms</w:t>
            </w:r>
          </w:p>
        </w:tc>
        <w:tc>
          <w:tcPr>
            <w:tcW w:type="dxa" w:w="5112"/>
          </w:tcPr>
          <w:p>
            <w:pPr>
              <w:spacing w:after="40"/>
            </w:pPr>
            <w:r>
              <w:rPr>
                <w:sz w:val="18"/>
              </w:rPr>
            </w:r>
            <w:r>
              <w:rPr>
                <w:b w:val="0"/>
                <w:i w:val="0"/>
                <w:sz w:val="18"/>
              </w:rPr>
              <w:t>Respiratory (pharyngeal, tonsillar, laryngeal, nasal) or cutaneous (most common in the tropics)</w:t>
            </w:r>
          </w:p>
        </w:tc>
      </w:tr>
      <w:tr>
        <w:tc>
          <w:tcPr>
            <w:tcW w:type="dxa" w:w="5112"/>
          </w:tcPr>
          <w:p>
            <w:pPr>
              <w:spacing w:after="40"/>
            </w:pPr>
            <w:r>
              <w:rPr>
                <w:sz w:val="18"/>
              </w:rPr>
            </w:r>
            <w:r>
              <w:rPr>
                <w:b w:val="0"/>
                <w:i w:val="0"/>
                <w:sz w:val="18"/>
              </w:rPr>
              <w:t>Stage 1: local infection</w:t>
            </w:r>
          </w:p>
        </w:tc>
        <w:tc>
          <w:tcPr>
            <w:tcW w:type="dxa" w:w="5112"/>
          </w:tcPr>
          <w:p>
            <w:pPr>
              <w:spacing w:after="40"/>
            </w:pPr>
            <w:r>
              <w:rPr>
                <w:sz w:val="18"/>
              </w:rPr>
            </w:r>
            <w:r>
              <w:rPr>
                <w:b w:val="0"/>
                <w:i w:val="0"/>
                <w:sz w:val="18"/>
              </w:rPr>
              <w:t xml:space="preserve">Upper respiratory inflammation: sore throat, nausea, vomiting, swollen lymph nodes. </w:t>
            </w:r>
            <w:r>
              <w:rPr>
                <w:b w:val="0"/>
                <w:i w:val="0"/>
                <w:sz w:val="18"/>
                <w:highlight w:val="yellow"/>
              </w:rPr>
              <w:t xml:space="preserve">The </w:t>
            </w:r>
            <w:r>
              <w:rPr>
                <w:b/>
                <w:i w:val="0"/>
                <w:sz w:val="18"/>
                <w:highlight w:val="yellow"/>
              </w:rPr>
              <w:t>pseudomembrane</w:t>
            </w:r>
            <w:r>
              <w:rPr>
                <w:b w:val="0"/>
                <w:i w:val="0"/>
                <w:sz w:val="18"/>
                <w:highlight w:val="yellow"/>
              </w:rPr>
              <w:t>, from solidified inflammatory fluid, is characteristic</w:t>
            </w:r>
            <w:r>
              <w:rPr>
                <w:b w:val="0"/>
                <w:i w:val="0"/>
                <w:sz w:val="18"/>
              </w:rPr>
              <w:t xml:space="preserve"> and </w:t>
            </w:r>
            <w:r>
              <w:rPr>
                <w:b/>
                <w:i w:val="0"/>
                <w:sz w:val="18"/>
              </w:rPr>
              <w:t>can cause asphyxiation</w:t>
            </w:r>
          </w:p>
        </w:tc>
      </w:tr>
      <w:tr>
        <w:tc>
          <w:tcPr>
            <w:tcW w:type="dxa" w:w="5112"/>
          </w:tcPr>
          <w:p>
            <w:pPr>
              <w:spacing w:after="40"/>
            </w:pPr>
            <w:r>
              <w:rPr>
                <w:sz w:val="18"/>
              </w:rPr>
            </w:r>
            <w:r>
              <w:rPr>
                <w:b w:val="0"/>
                <w:i w:val="0"/>
                <w:sz w:val="18"/>
              </w:rPr>
              <w:t>Stage 2: toxemia</w:t>
            </w:r>
          </w:p>
        </w:tc>
        <w:tc>
          <w:tcPr>
            <w:tcW w:type="dxa" w:w="5112"/>
          </w:tcPr>
          <w:p>
            <w:pPr>
              <w:spacing w:after="40"/>
            </w:pPr>
            <w:r>
              <w:rPr>
                <w:sz w:val="18"/>
              </w:rPr>
            </w:r>
            <w:r>
              <w:rPr>
                <w:b w:val="0"/>
                <w:i w:val="0"/>
                <w:sz w:val="18"/>
              </w:rPr>
              <w:t xml:space="preserve">Diphtherotoxin targets </w:t>
            </w:r>
            <w:r>
              <w:rPr>
                <w:b/>
                <w:i w:val="0"/>
                <w:sz w:val="18"/>
              </w:rPr>
              <w:t>the heart</w:t>
            </w:r>
            <w:r>
              <w:rPr>
                <w:b w:val="0"/>
                <w:i w:val="0"/>
                <w:sz w:val="18"/>
              </w:rPr>
              <w:t xml:space="preserve"> (myocarditis, abnormal electrocardiogram) and </w:t>
            </w:r>
            <w:r>
              <w:rPr>
                <w:b/>
                <w:i w:val="0"/>
                <w:sz w:val="18"/>
              </w:rPr>
              <w:t>the nerves</w:t>
            </w:r>
            <w:r>
              <w:rPr>
                <w:b w:val="0"/>
                <w:i w:val="0"/>
                <w:sz w:val="18"/>
              </w:rPr>
              <w:t xml:space="preserve"> (muscle weakness, paralysis)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Pseudomembrane and swelling; stain with </w:t>
            </w:r>
            <w:r>
              <w:rPr>
                <w:b/>
                <w:i w:val="0"/>
                <w:sz w:val="18"/>
              </w:rPr>
              <w:t>alkaline methylene blue</w:t>
            </w:r>
            <w:r>
              <w:rPr>
                <w:b w:val="0"/>
                <w:i w:val="0"/>
                <w:sz w:val="18"/>
              </w:rPr>
              <w:t>; conditions and history; serological assay</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Antitoxin in horse serum</w:t>
            </w:r>
            <w:r>
              <w:rPr>
                <w:b w:val="0"/>
                <w:i w:val="0"/>
                <w:sz w:val="18"/>
              </w:rPr>
              <w:t xml:space="preserve"> (since the 1890s), not usually given in non-respiratory cases; it </w:t>
            </w:r>
            <w:r>
              <w:rPr>
                <w:b/>
                <w:i w:val="0"/>
                <w:sz w:val="18"/>
              </w:rPr>
              <w:t>does not neutralize bound toxin but neutralizes circulating toxin</w:t>
            </w:r>
            <w:r>
              <w:rPr>
                <w:b w:val="0"/>
                <w:i w:val="0"/>
                <w:sz w:val="18"/>
              </w:rPr>
              <w:t>; antibiotics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w:t>
            </w:r>
            <w:r>
              <w:rPr>
                <w:b/>
                <w:i w:val="0"/>
                <w:sz w:val="18"/>
              </w:rPr>
              <w:t>toxoid vaccine</w:t>
            </w:r>
            <w:r>
              <w:rPr>
                <w:b w:val="0"/>
                <w:i w:val="0"/>
                <w:sz w:val="18"/>
              </w:rPr>
              <w:t xml:space="preserve"> series (at 6–8 weeks, 15 months and school age) </w:t>
            </w:r>
            <w:r>
              <w:rPr>
                <w:b/>
                <w:i w:val="0"/>
                <w:sz w:val="18"/>
              </w:rPr>
              <w:t>with boosters</w:t>
            </w:r>
          </w:p>
        </w:tc>
      </w:tr>
    </w:tbl>
    <w:p>
      <w:pPr>
        <w:spacing w:after="80"/>
      </w:pPr>
    </w:p>
    <w:p>
      <w:pPr>
        <w:jc w:val="center"/>
      </w:pPr>
      <w:r>
        <w:drawing>
          <wp:inline xmlns:a="http://schemas.openxmlformats.org/drawingml/2006/main" xmlns:pic="http://schemas.openxmlformats.org/drawingml/2006/picture">
            <wp:extent cx="3840480" cy="3245623"/>
            <wp:docPr id="33" name="Picture 33"/>
            <wp:cNvGraphicFramePr>
              <a:graphicFrameLocks noChangeAspect="1"/>
            </wp:cNvGraphicFramePr>
            <a:graphic>
              <a:graphicData uri="http://schemas.openxmlformats.org/drawingml/2006/picture">
                <pic:pic>
                  <pic:nvPicPr>
                    <pic:cNvPr id="0" name="Microbiology_Exam_2_micro-exam-2-study-guide-images_l10-s63-diphtheria-pseudomembrane.jpg"/>
                    <pic:cNvPicPr/>
                  </pic:nvPicPr>
                  <pic:blipFill>
                    <a:blip r:embed="rId41"/>
                    <a:stretch>
                      <a:fillRect/>
                    </a:stretch>
                  </pic:blipFill>
                  <pic:spPr>
                    <a:xfrm>
                      <a:off x="0" y="0"/>
                      <a:ext cx="3840480" cy="3245623"/>
                    </a:xfrm>
                    <a:prstGeom prst="rect"/>
                  </pic:spPr>
                </pic:pic>
              </a:graphicData>
            </a:graphic>
          </wp:inline>
        </w:drawing>
      </w:r>
    </w:p>
    <w:p>
      <w:pPr>
        <w:spacing w:after="160"/>
        <w:jc w:val="center"/>
      </w:pPr>
      <w:r>
        <w:rPr>
          <w:sz w:val="15"/>
        </w:rPr>
        <w:t>The pseudomembrane. The gray-white membrane over the throat, with swelling, is indicative of respiratory diphtheria and can obstruct the airway. Source: Lecture 9 Dr. Webster Gram positive Bacilli.pptx, Slide 63.</w:t>
      </w:r>
    </w:p>
    <w:p>
      <w:pPr>
        <w:spacing w:after="120"/>
      </w:pPr>
      <w:r>
        <w:rPr>
          <w:b w:val="0"/>
          <w:i w:val="0"/>
        </w:rPr>
        <w:t>Also tested</w:t>
      </w:r>
    </w:p>
    <w:p>
      <w:pPr>
        <w:pStyle w:val="ListBullet"/>
        <w:spacing w:after="40"/>
      </w:pPr>
      <w:r>
        <w:rPr>
          <w:b/>
          <w:i w:val="0"/>
          <w:sz w:val="20"/>
        </w:rPr>
        <w:t>Diphtheria pseudomembrane.</w:t>
      </w:r>
      <w:r>
        <w:rPr>
          <w:b w:val="0"/>
          <w:i w:val="0"/>
          <w:sz w:val="20"/>
        </w:rPr>
        <w:t xml:space="preserve"> A gray-white pseudomembrane with swelling over the throat is indicative of respiratory diphtheria, produced by Corynebacterium diphtheriae.</w:t>
      </w:r>
    </w:p>
    <w:p>
      <w:pPr>
        <w:pStyle w:val="Heading2"/>
        <w:spacing w:before="200" w:after="100"/>
      </w:pPr>
      <w:r>
        <w:rPr>
          <w:rFonts w:ascii="Georgia" w:hAnsi="Georgia"/>
          <w:color w:val="1F4D2B"/>
        </w:rPr>
        <w:t>10.10 · Objective 1 — Cutibacterium acnes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Cutibacterium</w:t>
            </w:r>
            <w:r>
              <w:rPr>
                <w:b/>
                <w:i w:val="0"/>
                <w:color w:val="FFFFFF"/>
                <w:sz w:val="18"/>
              </w:rPr>
              <w:t xml:space="preserve"> (formerly </w:t>
            </w:r>
            <w:r>
              <w:rPr>
                <w:b/>
                <w:i/>
                <w:color w:val="FFFFFF"/>
                <w:sz w:val="18"/>
              </w:rPr>
              <w:t>Propionibacterium</w:t>
            </w:r>
            <w:r>
              <w:rPr>
                <w:b/>
                <w:i w:val="0"/>
                <w:color w:val="FFFFFF"/>
                <w:sz w:val="18"/>
              </w:rPr>
              <w:t xml:space="preserve">) </w:t>
            </w:r>
            <w:r>
              <w:rPr>
                <w:b/>
                <w:i/>
                <w:color w:val="FFFFFF"/>
                <w:sz w:val="18"/>
              </w:rPr>
              <w:t>acnes</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i w:val="0"/>
                <w:sz w:val="18"/>
                <w:highlight w:val="yellow"/>
              </w:rPr>
              <w:t xml:space="preserve">The genus </w:t>
            </w:r>
            <w:r>
              <w:rPr>
                <w:b/>
                <w:i/>
                <w:sz w:val="18"/>
                <w:highlight w:val="yellow"/>
              </w:rPr>
              <w:t>Propionibacterium</w:t>
            </w:r>
            <w:r>
              <w:rPr>
                <w:b/>
                <w:i w:val="0"/>
                <w:sz w:val="18"/>
                <w:highlight w:val="yellow"/>
              </w:rPr>
              <w:t xml:space="preserve"> is now </w:t>
            </w:r>
            <w:r>
              <w:rPr>
                <w:b/>
                <w:i/>
                <w:sz w:val="18"/>
                <w:highlight w:val="yellow"/>
              </w:rPr>
              <w:t>Cutibacterium</w:t>
            </w:r>
            <w:r>
              <w:rPr>
                <w:b w:val="0"/>
                <w:i w:val="0"/>
                <w:sz w:val="18"/>
              </w:rPr>
              <w:t xml:space="preserve">; </w:t>
            </w:r>
            <w:r>
              <w:rPr>
                <w:b w:val="0"/>
                <w:i/>
                <w:sz w:val="18"/>
              </w:rPr>
              <w:t>C. acnes</w:t>
            </w:r>
            <w:r>
              <w:rPr>
                <w:b w:val="0"/>
                <w:i w:val="0"/>
                <w:sz w:val="18"/>
              </w:rPr>
              <w:t xml:space="preserve"> is the most common</w:t>
            </w:r>
          </w:p>
        </w:tc>
      </w:tr>
      <w:tr>
        <w:tc>
          <w:tcPr>
            <w:tcW w:type="dxa" w:w="5112"/>
          </w:tcPr>
          <w:p>
            <w:pPr>
              <w:spacing w:after="40"/>
            </w:pPr>
            <w:r>
              <w:rPr>
                <w:sz w:val="18"/>
              </w:rPr>
            </w:r>
            <w:r>
              <w:rPr>
                <w:b w:val="0"/>
                <w:i w:val="0"/>
                <w:sz w:val="18"/>
              </w:rPr>
              <w:t>Morphology and growth</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w:t>
            </w:r>
            <w:r>
              <w:rPr>
                <w:b/>
                <w:i w:val="0"/>
                <w:sz w:val="18"/>
              </w:rPr>
              <w:t>nontoxigenic</w:t>
            </w:r>
          </w:p>
        </w:tc>
      </w:tr>
      <w:tr>
        <w:tc>
          <w:tcPr>
            <w:tcW w:type="dxa" w:w="5112"/>
          </w:tcPr>
          <w:p>
            <w:pPr>
              <w:spacing w:after="40"/>
            </w:pPr>
            <w:r>
              <w:rPr>
                <w:sz w:val="18"/>
              </w:rPr>
            </w:r>
            <w:r>
              <w:rPr>
                <w:b w:val="0"/>
                <w:i w:val="0"/>
                <w:sz w:val="18"/>
              </w:rPr>
              <w:t>Habitat and acne</w:t>
            </w:r>
          </w:p>
        </w:tc>
        <w:tc>
          <w:tcPr>
            <w:tcW w:type="dxa" w:w="5112"/>
          </w:tcPr>
          <w:p>
            <w:pPr>
              <w:spacing w:after="40"/>
            </w:pPr>
            <w:r>
              <w:rPr>
                <w:sz w:val="18"/>
              </w:rPr>
            </w:r>
            <w:r>
              <w:rPr>
                <w:b w:val="0"/>
                <w:i w:val="0"/>
                <w:sz w:val="18"/>
              </w:rPr>
              <w:t xml:space="preserve">A common resident of the </w:t>
            </w:r>
            <w:r>
              <w:rPr>
                <w:b/>
                <w:i w:val="0"/>
                <w:sz w:val="18"/>
              </w:rPr>
              <w:t>pilosebaceous glands</w:t>
            </w:r>
            <w:r>
              <w:rPr>
                <w:b w:val="0"/>
                <w:i w:val="0"/>
                <w:sz w:val="18"/>
              </w:rPr>
              <w:t xml:space="preserve">; causes acne </w:t>
            </w:r>
            <w:r>
              <w:rPr>
                <w:b/>
                <w:i w:val="0"/>
                <w:sz w:val="18"/>
              </w:rPr>
              <w:t>via inflammatory mediators</w:t>
            </w:r>
            <w:r>
              <w:rPr>
                <w:b w:val="0"/>
                <w:i w:val="0"/>
                <w:sz w:val="18"/>
              </w:rPr>
              <w:t>, not a toxin</w:t>
            </w:r>
          </w:p>
        </w:tc>
      </w:tr>
      <w:tr>
        <w:tc>
          <w:tcPr>
            <w:tcW w:type="dxa" w:w="5112"/>
          </w:tcPr>
          <w:p>
            <w:pPr>
              <w:spacing w:after="40"/>
            </w:pPr>
            <w:r>
              <w:rPr>
                <w:sz w:val="18"/>
              </w:rPr>
            </w:r>
            <w:r>
              <w:rPr>
                <w:b w:val="0"/>
                <w:i w:val="0"/>
                <w:sz w:val="18"/>
              </w:rPr>
              <w:t>Implant infections</w:t>
            </w:r>
          </w:p>
        </w:tc>
        <w:tc>
          <w:tcPr>
            <w:tcW w:type="dxa" w:w="5112"/>
          </w:tcPr>
          <w:p>
            <w:pPr>
              <w:spacing w:after="40"/>
            </w:pPr>
            <w:r>
              <w:rPr>
                <w:sz w:val="18"/>
              </w:rPr>
            </w:r>
            <w:r>
              <w:rPr>
                <w:b w:val="0"/>
                <w:i w:val="0"/>
                <w:sz w:val="18"/>
              </w:rPr>
              <w:t xml:space="preserve">Implicated in chronic invasive, implant, endovascular and central nervous system shunt infections. </w:t>
            </w:r>
            <w:r>
              <w:rPr>
                <w:b/>
                <w:i w:val="0"/>
                <w:sz w:val="18"/>
              </w:rPr>
              <w:t>It forms a biofilm on prosthetics</w:t>
            </w:r>
            <w:r>
              <w:rPr>
                <w:b w:val="0"/>
                <w:i w:val="0"/>
                <w:sz w:val="18"/>
              </w:rPr>
              <w:t>, raising its tolerance to antibiotics and immune defense</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Hard, because it grows so slowly</w:t>
            </w:r>
            <w:r>
              <w:rPr>
                <w:b w:val="0"/>
                <w:i w:val="0"/>
                <w:sz w:val="18"/>
              </w:rPr>
              <w:t xml:space="preserve">: fluid from an infected site may show nothing for days, so </w:t>
            </w:r>
            <w:r>
              <w:rPr>
                <w:b/>
                <w:i w:val="0"/>
                <w:sz w:val="18"/>
              </w:rPr>
              <w:t>prolonged incubation under strict anaerobic conditions</w:t>
            </w:r>
            <w:r>
              <w:rPr>
                <w:b w:val="0"/>
                <w:i w:val="0"/>
                <w:sz w:val="18"/>
              </w:rPr>
              <w:t xml:space="preserve"> is needed</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The hardware may need to be removed</w:t>
            </w:r>
            <w:r>
              <w:rPr>
                <w:b w:val="0"/>
                <w:i w:val="0"/>
                <w:sz w:val="18"/>
              </w:rPr>
              <w:t xml:space="preserve">, with aggressive </w:t>
            </w:r>
            <w:r>
              <w:rPr>
                <w:b/>
                <w:i w:val="0"/>
                <w:sz w:val="18"/>
              </w:rPr>
              <w:t>debridement</w:t>
            </w:r>
            <w:r>
              <w:rPr>
                <w:b w:val="0"/>
                <w:i w:val="0"/>
                <w:sz w:val="18"/>
              </w:rPr>
              <w:t>; prolonged antibiotics (often 3–6 months)</w:t>
            </w:r>
          </w:p>
        </w:tc>
      </w:tr>
    </w:tbl>
    <w:p>
      <w:pPr>
        <w:spacing w:after="80"/>
      </w:pPr>
    </w:p>
    <w:p>
      <w:pPr>
        <w:pStyle w:val="Heading2"/>
        <w:spacing w:before="200" w:after="100"/>
      </w:pPr>
      <w:r>
        <w:rPr>
          <w:rFonts w:ascii="Georgia" w:hAnsi="Georgia"/>
          <w:color w:val="1F4D2B"/>
        </w:rPr>
        <w:t>10.11 · Objective 1 — Mycobacteria and tuberculosis</w:t>
      </w:r>
    </w:p>
    <w:p>
      <w:pPr>
        <w:spacing w:after="120"/>
      </w:pPr>
      <w:r>
        <w:rPr>
          <w:b/>
          <w:i w:val="0"/>
        </w:rPr>
        <w:t>Mycobacteria are acid-fast bacilli</w:t>
      </w:r>
      <w:r>
        <w:rPr>
          <w:b w:val="0"/>
          <w:i w:val="0"/>
        </w:rPr>
        <w:t xml:space="preserve">: Gram-positive irregular rods with </w:t>
      </w:r>
      <w:r>
        <w:rPr>
          <w:b/>
          <w:i w:val="0"/>
        </w:rPr>
        <w:t>mycolic acids and waxes in the wall</w:t>
      </w:r>
      <w:r>
        <w:rPr>
          <w:b w:val="0"/>
          <w:i w:val="0"/>
        </w:rPr>
        <w:t xml:space="preserve">, which is why the acid-fast stain (carbol fuchsin) needs heat to drive it in and why they Gram stain poorly. They are </w:t>
      </w:r>
      <w:r>
        <w:rPr>
          <w:b/>
          <w:i w:val="0"/>
        </w:rPr>
        <w:t>strict aerobes</w:t>
      </w:r>
      <w:r>
        <w:rPr>
          <w:b w:val="0"/>
          <w:i w:val="0"/>
        </w:rPr>
        <w:t xml:space="preserve">, produce catalase, </w:t>
      </w:r>
      <w:r>
        <w:rPr>
          <w:b/>
          <w:i w:val="0"/>
        </w:rPr>
        <w:t>form no capsules, flagella or spores</w:t>
      </w:r>
      <w:r>
        <w:rPr>
          <w:b w:val="0"/>
          <w:i w:val="0"/>
        </w:rPr>
        <w:t>, and grow slowly. Non-tuberculous mycobacteria are a problem in the immunosuppressed (the species table, slide 68, and the list on slide 90 are context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tuberculosis</w:t>
            </w:r>
            <w:r>
              <w:rPr>
                <w:b/>
                <w:i w:val="0"/>
                <w:color w:val="FFFFFF"/>
                <w:sz w:val="18"/>
              </w:rPr>
              <w:t xml:space="preserve"> (the tubercle bacillus)</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i w:val="0"/>
                <w:sz w:val="18"/>
              </w:rPr>
              <w:t>No exotoxins or enzymes</w:t>
            </w:r>
            <w:r>
              <w:rPr>
                <w:b w:val="0"/>
                <w:i w:val="0"/>
                <w:sz w:val="18"/>
              </w:rPr>
              <w:t xml:space="preserve"> that contribute to infectiousness; </w:t>
            </w:r>
            <w:r>
              <w:rPr>
                <w:b/>
                <w:i w:val="0"/>
                <w:sz w:val="18"/>
              </w:rPr>
              <w:t>complex waxes and cord factor</w:t>
            </w:r>
            <w:r>
              <w:rPr>
                <w:b w:val="0"/>
                <w:i w:val="0"/>
                <w:sz w:val="18"/>
              </w:rPr>
              <w:t xml:space="preserve"> prevent destruction by lysosomes and macrophages</w:t>
            </w:r>
          </w:p>
        </w:tc>
      </w:tr>
      <w:tr>
        <w:tc>
          <w:tcPr>
            <w:tcW w:type="dxa" w:w="5112"/>
          </w:tcPr>
          <w:p>
            <w:pPr>
              <w:spacing w:after="40"/>
            </w:pPr>
            <w:r>
              <w:rPr>
                <w:sz w:val="18"/>
              </w:rPr>
            </w:r>
            <w:r>
              <w:rPr>
                <w:b w:val="0"/>
                <w:i w:val="0"/>
                <w:sz w:val="18"/>
              </w:rPr>
              <w:t>Epidemiology</w:t>
            </w:r>
          </w:p>
        </w:tc>
        <w:tc>
          <w:tcPr>
            <w:tcW w:type="dxa" w:w="5112"/>
          </w:tcPr>
          <w:p>
            <w:pPr>
              <w:spacing w:after="40"/>
            </w:pPr>
            <w:r>
              <w:rPr>
                <w:sz w:val="18"/>
              </w:rPr>
            </w:r>
            <w:r>
              <w:rPr>
                <w:b w:val="0"/>
                <w:i w:val="0"/>
                <w:sz w:val="18"/>
              </w:rPr>
              <w:t xml:space="preserve">Predisposed by poor nutrition, a weakened immune system, poor access to care, lung damage and genetics; about a third of the world carries the bacillus; highest United States rate in recent immigrants. The bacillus is very resistant and is </w:t>
            </w:r>
            <w:r>
              <w:rPr>
                <w:b/>
                <w:i w:val="0"/>
                <w:sz w:val="18"/>
              </w:rPr>
              <w:t>transmitted by airborne respiratory droplets</w:t>
            </w:r>
            <w:r>
              <w:rPr>
                <w:b w:val="0"/>
                <w:i w:val="0"/>
                <w:sz w:val="18"/>
              </w:rPr>
              <w:t xml:space="preserve">; the </w:t>
            </w:r>
            <w:r>
              <w:rPr>
                <w:b/>
                <w:i w:val="0"/>
                <w:sz w:val="18"/>
              </w:rPr>
              <w:t>infectious dose is about 10 cells</w:t>
            </w:r>
          </w:p>
        </w:tc>
      </w:tr>
      <w:tr>
        <w:tc>
          <w:tcPr>
            <w:tcW w:type="dxa" w:w="5112"/>
          </w:tcPr>
          <w:p>
            <w:pPr>
              <w:spacing w:after="40"/>
            </w:pPr>
            <w:r>
              <w:rPr>
                <w:sz w:val="18"/>
              </w:rPr>
            </w:r>
            <w:r>
              <w:rPr>
                <w:b w:val="0"/>
                <w:i w:val="0"/>
                <w:sz w:val="18"/>
              </w:rPr>
              <w:t>Infection versus disease</w:t>
            </w:r>
          </w:p>
        </w:tc>
        <w:tc>
          <w:tcPr>
            <w:tcW w:type="dxa" w:w="5112"/>
          </w:tcPr>
          <w:p>
            <w:pPr>
              <w:spacing w:after="40"/>
            </w:pPr>
            <w:r>
              <w:rPr>
                <w:sz w:val="18"/>
              </w:rPr>
            </w:r>
            <w:r>
              <w:rPr>
                <w:b w:val="0"/>
                <w:i w:val="0"/>
                <w:sz w:val="18"/>
              </w:rPr>
              <w:t xml:space="preserve">Only 5–10% of infected people develop clinical disease. </w:t>
            </w:r>
            <w:r>
              <w:rPr>
                <w:b/>
                <w:i w:val="0"/>
                <w:sz w:val="18"/>
              </w:rPr>
              <w:t>Inactive (latent) tuberculosis is not contagious, can be detected by a blood or skin test, and may activate at any time.</w:t>
            </w:r>
            <w:r>
              <w:rPr>
                <w:b w:val="0"/>
                <w:i w:val="0"/>
                <w:sz w:val="18"/>
              </w:rPr>
              <w:t xml:space="preserve"> Untreated disease progresses slowly and mostly stays in the lungs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highlight w:val="yellow"/>
              </w:rPr>
              <w:t>The three divisions of clinical tuberculosis</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Primary</w:t>
            </w:r>
          </w:p>
        </w:tc>
        <w:tc>
          <w:tcPr>
            <w:tcW w:type="dxa" w:w="5112"/>
          </w:tcPr>
          <w:p>
            <w:pPr>
              <w:spacing w:after="40"/>
            </w:pPr>
            <w:r>
              <w:rPr>
                <w:sz w:val="18"/>
              </w:rPr>
            </w:r>
            <w:r>
              <w:rPr>
                <w:b w:val="0"/>
                <w:i w:val="0"/>
                <w:sz w:val="18"/>
              </w:rPr>
              <w:t xml:space="preserve">Bacilli are phagocytosed by alveolar macrophages and multiply inside them. After 3–4 weeks the immune system attacks, forming </w:t>
            </w:r>
            <w:r>
              <w:rPr>
                <w:b/>
                <w:i w:val="0"/>
                <w:sz w:val="18"/>
              </w:rPr>
              <w:t>tubercles: granulomas of a central core of bacilli surrounded by white blood cells</w:t>
            </w:r>
            <w:r>
              <w:rPr>
                <w:b w:val="0"/>
                <w:i w:val="0"/>
                <w:sz w:val="18"/>
              </w:rPr>
              <w:t xml:space="preserve">. If the center breaks down into necrotic </w:t>
            </w:r>
            <w:r>
              <w:rPr>
                <w:b/>
                <w:i w:val="0"/>
                <w:sz w:val="18"/>
              </w:rPr>
              <w:t>caseous lesions, they gradually heal by calcification</w:t>
            </w:r>
            <w:r>
              <w:rPr>
                <w:b w:val="0"/>
                <w:i w:val="0"/>
                <w:sz w:val="18"/>
              </w:rPr>
              <w:t>. Stimulates a cell-mediated response</w:t>
            </w:r>
          </w:p>
        </w:tc>
      </w:tr>
      <w:tr>
        <w:tc>
          <w:tcPr>
            <w:tcW w:type="dxa" w:w="5112"/>
          </w:tcPr>
          <w:p>
            <w:pPr>
              <w:spacing w:after="40"/>
            </w:pPr>
            <w:r>
              <w:rPr>
                <w:sz w:val="18"/>
              </w:rPr>
            </w:r>
            <w:r>
              <w:rPr>
                <w:b/>
                <w:i w:val="0"/>
                <w:sz w:val="18"/>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the bacilli reactivate; </w:t>
            </w:r>
            <w:r>
              <w:rPr>
                <w:b/>
                <w:i w:val="0"/>
                <w:sz w:val="18"/>
              </w:rPr>
              <w:t>tubercles expand and drain into the bronchial tubes</w:t>
            </w:r>
            <w:r>
              <w:rPr>
                <w:b w:val="0"/>
                <w:i w:val="0"/>
                <w:sz w:val="18"/>
              </w:rPr>
              <w:t xml:space="preserve"> and upper respiratory tract: violent coughing, greenish or bloody sputum, fever, anorexia, weight loss, fatigue — </w:t>
            </w:r>
            <w:r>
              <w:rPr>
                <w:b/>
                <w:i w:val="0"/>
                <w:sz w:val="18"/>
              </w:rPr>
              <w:t>“consumption”, because patients wasted away</w:t>
            </w:r>
          </w:p>
        </w:tc>
      </w:tr>
      <w:tr>
        <w:tc>
          <w:tcPr>
            <w:tcW w:type="dxa" w:w="5112"/>
          </w:tcPr>
          <w:p>
            <w:pPr>
              <w:spacing w:after="40"/>
            </w:pPr>
            <w:r>
              <w:rPr>
                <w:sz w:val="18"/>
              </w:rPr>
            </w:r>
            <w:r>
              <w:rPr>
                <w:b/>
                <w:i w:val="0"/>
                <w:sz w:val="18"/>
              </w:rPr>
              <w:t>Disseminated</w:t>
            </w:r>
            <w:r>
              <w:rPr>
                <w:b w:val="0"/>
                <w:i w:val="0"/>
                <w:sz w:val="18"/>
              </w:rPr>
              <w:t xml:space="preserve"> (extrapulmonary)</w:t>
            </w:r>
          </w:p>
        </w:tc>
        <w:tc>
          <w:tcPr>
            <w:tcW w:type="dxa" w:w="5112"/>
          </w:tcPr>
          <w:p>
            <w:pPr>
              <w:spacing w:after="40"/>
            </w:pPr>
            <w:r>
              <w:rPr>
                <w:sz w:val="18"/>
              </w:rPr>
            </w:r>
            <w:r>
              <w:rPr>
                <w:b w:val="0"/>
                <w:i w:val="0"/>
                <w:sz w:val="18"/>
              </w:rPr>
              <w:t xml:space="preserve">Bacilli spread to </w:t>
            </w:r>
            <w:r>
              <w:rPr>
                <w:b/>
                <w:i w:val="0"/>
                <w:sz w:val="18"/>
              </w:rPr>
              <w:t>regional lymph nodes, kidneys, long bones, the genital tract, brain and meninges</w:t>
            </w:r>
            <w:r>
              <w:rPr>
                <w:b w:val="0"/>
                <w:i w:val="0"/>
                <w:sz w:val="18"/>
              </w:rPr>
              <w:t>; tuberculous meningitis is grave even when treated</w:t>
            </w:r>
          </w:p>
        </w:tc>
      </w:tr>
    </w:tbl>
    <w:p>
      <w:pPr>
        <w:spacing w:after="80"/>
      </w:pPr>
    </w:p>
    <w:p>
      <w:pPr>
        <w:jc w:val="center"/>
      </w:pPr>
      <w:r>
        <w:drawing>
          <wp:inline xmlns:a="http://schemas.openxmlformats.org/drawingml/2006/main" xmlns:pic="http://schemas.openxmlformats.org/drawingml/2006/picture">
            <wp:extent cx="3840480" cy="4062657"/>
            <wp:docPr id="34" name="Picture 34"/>
            <wp:cNvGraphicFramePr>
              <a:graphicFrameLocks noChangeAspect="1"/>
            </wp:cNvGraphicFramePr>
            <a:graphic>
              <a:graphicData uri="http://schemas.openxmlformats.org/drawingml/2006/picture">
                <pic:pic>
                  <pic:nvPicPr>
                    <pic:cNvPr id="0" name="Microbiology_Exam_2_micro-exam-2-study-guide-images_l10-s73-tubercle.jpg"/>
                    <pic:cNvPicPr/>
                  </pic:nvPicPr>
                  <pic:blipFill>
                    <a:blip r:embed="rId42"/>
                    <a:stretch>
                      <a:fillRect/>
                    </a:stretch>
                  </pic:blipFill>
                  <pic:spPr>
                    <a:xfrm>
                      <a:off x="0" y="0"/>
                      <a:ext cx="3840480" cy="4062657"/>
                    </a:xfrm>
                    <a:prstGeom prst="rect"/>
                  </pic:spPr>
                </pic:pic>
              </a:graphicData>
            </a:graphic>
          </wp:inline>
        </w:drawing>
      </w:r>
    </w:p>
    <w:p>
      <w:pPr>
        <w:spacing w:after="160"/>
        <w:jc w:val="center"/>
      </w:pPr>
      <w:r>
        <w:rPr>
          <w:sz w:val="15"/>
        </w:rPr>
        <w:t>The tubercle. Caseous necrosis with tubercle bacilli at the center, epithelioid cells and a multinucleate giant cell around it, walled off by granuloma (fibroblast) cells. Copyright © The McGraw-Hill Companies. Source: Lecture 9 Dr. Webster Gram positive Bacilli.pptx,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What it is</w:t>
            </w:r>
          </w:p>
        </w:tc>
      </w:tr>
      <w:tr>
        <w:tc>
          <w:tcPr>
            <w:tcW w:type="dxa" w:w="5112"/>
          </w:tcPr>
          <w:p>
            <w:pPr>
              <w:spacing w:after="40"/>
            </w:pPr>
            <w:r>
              <w:rPr>
                <w:sz w:val="18"/>
              </w:rPr>
            </w:r>
            <w:r>
              <w:rPr>
                <w:b w:val="0"/>
                <w:i w:val="0"/>
                <w:sz w:val="18"/>
              </w:rPr>
              <w:t>Mantoux (tuberculin) test</w:t>
            </w:r>
          </w:p>
        </w:tc>
        <w:tc>
          <w:tcPr>
            <w:tcW w:type="dxa" w:w="5112"/>
          </w:tcPr>
          <w:p>
            <w:pPr>
              <w:spacing w:after="40"/>
            </w:pPr>
            <w:r>
              <w:rPr>
                <w:sz w:val="18"/>
              </w:rPr>
            </w:r>
            <w:r>
              <w:rPr>
                <w:b w:val="0"/>
                <w:i w:val="0"/>
                <w:sz w:val="18"/>
              </w:rPr>
              <w:t xml:space="preserve">Intradermal purified protein derivative; </w:t>
            </w:r>
            <w:r>
              <w:rPr>
                <w:b/>
                <w:i w:val="0"/>
                <w:sz w:val="18"/>
              </w:rPr>
              <w:t>read at 48–72 hours</w:t>
            </w:r>
            <w:r>
              <w:rPr>
                <w:b w:val="0"/>
                <w:i w:val="0"/>
                <w:sz w:val="18"/>
              </w:rPr>
              <w:t xml:space="preserve"> for induration, interpreted by size and the patient’s population factors (a delayed, type IV reaction)</w:t>
            </w:r>
          </w:p>
        </w:tc>
      </w:tr>
      <w:tr>
        <w:tc>
          <w:tcPr>
            <w:tcW w:type="dxa" w:w="5112"/>
          </w:tcPr>
          <w:p>
            <w:pPr>
              <w:spacing w:after="40"/>
            </w:pPr>
            <w:r>
              <w:rPr>
                <w:sz w:val="18"/>
              </w:rPr>
            </w:r>
            <w:r>
              <w:rPr>
                <w:b w:val="0"/>
                <w:i w:val="0"/>
                <w:sz w:val="18"/>
              </w:rPr>
              <w:t>QuantiFERON-TB Gold</w:t>
            </w:r>
          </w:p>
        </w:tc>
        <w:tc>
          <w:tcPr>
            <w:tcW w:type="dxa" w:w="5112"/>
          </w:tcPr>
          <w:p>
            <w:pPr>
              <w:spacing w:after="40"/>
            </w:pPr>
            <w:r>
              <w:rPr>
                <w:sz w:val="18"/>
              </w:rPr>
            </w:r>
            <w:r>
              <w:rPr>
                <w:b w:val="0"/>
                <w:i w:val="0"/>
                <w:sz w:val="18"/>
              </w:rPr>
              <w:t xml:space="preserve">Blood incubated with mycobacterial proteins; measures </w:t>
            </w:r>
            <w:r>
              <w:rPr>
                <w:b/>
                <w:i w:val="0"/>
                <w:sz w:val="18"/>
              </w:rPr>
              <w:t>release of gamma interferon</w:t>
            </w:r>
          </w:p>
        </w:tc>
      </w:tr>
      <w:tr>
        <w:tc>
          <w:tcPr>
            <w:tcW w:type="dxa" w:w="5112"/>
          </w:tcPr>
          <w:p>
            <w:pPr>
              <w:spacing w:after="40"/>
            </w:pPr>
            <w:r>
              <w:rPr>
                <w:sz w:val="18"/>
              </w:rPr>
            </w:r>
            <w:r>
              <w:rPr>
                <w:b w:val="0"/>
                <w:i w:val="0"/>
                <w:sz w:val="18"/>
              </w:rPr>
              <w:t>False results</w:t>
            </w:r>
          </w:p>
        </w:tc>
        <w:tc>
          <w:tcPr>
            <w:tcW w:type="dxa" w:w="5112"/>
          </w:tcPr>
          <w:p>
            <w:pPr>
              <w:spacing w:after="40"/>
            </w:pPr>
            <w:r>
              <w:rPr>
                <w:sz w:val="18"/>
              </w:rPr>
            </w:r>
            <w:r>
              <w:rPr>
                <w:b/>
                <w:i w:val="0"/>
                <w:sz w:val="18"/>
              </w:rPr>
              <w:t>False positives: prior BCG (bacille Calmette-Guérin) vaccine</w:t>
            </w:r>
            <w:r>
              <w:rPr>
                <w:b w:val="0"/>
                <w:i w:val="0"/>
                <w:sz w:val="18"/>
              </w:rPr>
              <w:t xml:space="preserve">, infection by other </w:t>
            </w:r>
            <w:r>
              <w:rPr>
                <w:b w:val="0"/>
                <w:i/>
                <w:sz w:val="18"/>
              </w:rPr>
              <w:t>Mycobacterium</w:t>
            </w:r>
            <w:r>
              <w:rPr>
                <w:b w:val="0"/>
                <w:i w:val="0"/>
                <w:sz w:val="18"/>
              </w:rPr>
              <w:t xml:space="preserve"> species. </w:t>
            </w:r>
            <w:r>
              <w:rPr>
                <w:b/>
                <w:i w:val="0"/>
                <w:sz w:val="18"/>
              </w:rPr>
              <w:t>False negatives: too early in infection; acquired immunodeficiency syndrome or other immunosuppression, where the patient cannot mount the response</w:t>
            </w:r>
          </w:p>
        </w:tc>
      </w:tr>
      <w:tr>
        <w:tc>
          <w:tcPr>
            <w:tcW w:type="dxa" w:w="5112"/>
          </w:tcPr>
          <w:p>
            <w:pPr>
              <w:spacing w:after="40"/>
            </w:pPr>
            <w:r>
              <w:rPr>
                <w:sz w:val="18"/>
              </w:rPr>
            </w:r>
            <w:r>
              <w:rPr>
                <w:b w:val="0"/>
                <w:i w:val="0"/>
                <w:sz w:val="18"/>
              </w:rPr>
              <w:t>Sputum and imaging</w:t>
            </w:r>
          </w:p>
        </w:tc>
        <w:tc>
          <w:tcPr>
            <w:tcW w:type="dxa" w:w="5112"/>
          </w:tcPr>
          <w:p>
            <w:pPr>
              <w:spacing w:after="40"/>
            </w:pPr>
            <w:r>
              <w:rPr>
                <w:sz w:val="18"/>
              </w:rPr>
            </w:r>
            <w:r>
              <w:rPr>
                <w:b w:val="0"/>
                <w:i w:val="0"/>
                <w:sz w:val="18"/>
              </w:rPr>
              <w:t xml:space="preserve">Acid-fast stain of sputum, </w:t>
            </w:r>
            <w:r>
              <w:rPr>
                <w:b/>
                <w:i w:val="0"/>
                <w:sz w:val="18"/>
              </w:rPr>
              <w:t>Ziehl-Neelsen</w:t>
            </w:r>
            <w:r>
              <w:rPr>
                <w:b w:val="0"/>
                <w:i w:val="0"/>
                <w:sz w:val="18"/>
              </w:rPr>
              <w:t xml:space="preserve"> or fluorescent; laboratory cultivation; nucleic acid probes; chest X-ray for tubercles</w:t>
            </w:r>
          </w:p>
        </w:tc>
      </w:tr>
    </w:tbl>
    <w:p>
      <w:pPr>
        <w:spacing w:after="80"/>
      </w:pPr>
    </w:p>
    <w:p>
      <w:pPr>
        <w:spacing w:after="120"/>
      </w:pPr>
      <w:r>
        <w:rPr>
          <w:b/>
          <w:i w:val="0"/>
        </w:rPr>
        <w:t>Management and prevention.</w:t>
      </w:r>
      <w:r>
        <w:rPr>
          <w:b w:val="0"/>
          <w:i w:val="0"/>
        </w:rPr>
        <w:t xml:space="preserve"> </w:t>
      </w:r>
      <w:r>
        <w:rPr>
          <w:b/>
          <w:i w:val="0"/>
        </w:rPr>
        <w:t>6–24 months of at least two drugs</w:t>
      </w:r>
      <w:r>
        <w:rPr>
          <w:b w:val="0"/>
          <w:i w:val="0"/>
        </w:rPr>
        <w:t xml:space="preserve"> (a one-pill regimen combines three); preventive treatment for those at risk or latently infected. The vaccine used in other countries is </w:t>
      </w:r>
      <w:r>
        <w:rPr>
          <w:b/>
          <w:i w:val="0"/>
        </w:rPr>
        <w:t xml:space="preserve">the attenuated bacille Calmette-Guérin strain of </w:t>
      </w:r>
      <w:r>
        <w:rPr>
          <w:b/>
          <w:i/>
        </w:rPr>
        <w:t>Mycobacterium bovis</w:t>
      </w:r>
      <w:r>
        <w:rPr>
          <w:b w:val="0"/>
          <w:i w:val="0"/>
        </w:rPr>
        <w:t>.</w:t>
      </w:r>
    </w:p>
    <w:p>
      <w:pPr>
        <w:pStyle w:val="Heading2"/>
        <w:spacing w:before="200" w:after="100"/>
      </w:pPr>
      <w:r>
        <w:rPr>
          <w:rFonts w:ascii="Georgia" w:hAnsi="Georgia"/>
          <w:color w:val="1F4D2B"/>
        </w:rPr>
        <w:t>10.12 · Objective 1 — Mycobacterium leprae and leprosy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leprae</w:t>
            </w:r>
            <w:r>
              <w:rPr>
                <w:b/>
                <w:i w:val="0"/>
                <w:color w:val="FFFFFF"/>
                <w:sz w:val="18"/>
              </w:rPr>
              <w:t xml:space="preserve"> (Hansen’s bacillus)</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val="0"/>
                <w:i w:val="0"/>
                <w:sz w:val="18"/>
              </w:rPr>
              <w:t xml:space="preserve">A </w:t>
            </w:r>
            <w:r>
              <w:rPr>
                <w:b/>
                <w:i w:val="0"/>
                <w:sz w:val="18"/>
              </w:rPr>
              <w:t>strict parasite</w:t>
            </w:r>
            <w:r>
              <w:rPr>
                <w:b w:val="0"/>
                <w:i w:val="0"/>
                <w:sz w:val="18"/>
              </w:rPr>
              <w:t xml:space="preserve">: it has not been grown on artificial media or in tissue culture, </w:t>
            </w:r>
            <w:r>
              <w:rPr>
                <w:b/>
                <w:i w:val="0"/>
                <w:sz w:val="18"/>
              </w:rPr>
              <w:t>so armadillos are used</w:t>
            </w:r>
            <w:r>
              <w:rPr>
                <w:b w:val="0"/>
                <w:i w:val="0"/>
                <w:sz w:val="18"/>
              </w:rPr>
              <w:t xml:space="preserve">; the </w:t>
            </w:r>
            <w:r>
              <w:rPr>
                <w:b/>
                <w:i w:val="0"/>
                <w:sz w:val="18"/>
              </w:rPr>
              <w:t>slowest growing</w:t>
            </w:r>
            <w:r>
              <w:rPr>
                <w:b w:val="0"/>
                <w:i w:val="0"/>
                <w:sz w:val="18"/>
              </w:rPr>
              <w:t xml:space="preserve"> of all species; it </w:t>
            </w:r>
            <w:r>
              <w:rPr>
                <w:b/>
                <w:i w:val="0"/>
                <w:sz w:val="18"/>
              </w:rPr>
              <w:t>multiplies within host cells in large packets called globi</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Leprosy (Hansen’s disease), a chronic disease beginning in the skin and mucous membranes and progressing into the nerves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The mechanism is not fully verified</w:t>
            </w:r>
            <w:r>
              <w:rPr>
                <w:b w:val="0"/>
                <w:i w:val="0"/>
                <w:sz w:val="18"/>
              </w:rPr>
              <w:t xml:space="preserve">; </w:t>
            </w:r>
            <w:r>
              <w:rPr>
                <w:b/>
                <w:i w:val="0"/>
                <w:sz w:val="18"/>
              </w:rPr>
              <w:t>zoonotic transmission from armadillos is possible</w:t>
            </w:r>
            <w:r>
              <w:rPr>
                <w:b w:val="0"/>
                <w:i w:val="0"/>
                <w:sz w:val="18"/>
              </w:rPr>
              <w:t>. Not highly virulent: health, living conditions and possibly a genetic marker influence susceptibility. Most Florida cases are in Central Florida (the I-4 corridor)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Macrophages phagocytize the bacilli but a weakened macrophage or slow T cell response may not kill them. Incubation 2–5 years; untreated, the bacilli </w:t>
            </w:r>
            <w:r>
              <w:rPr>
                <w:b/>
                <w:i w:val="0"/>
                <w:sz w:val="18"/>
              </w:rPr>
              <w:t>grow slowly in skin macrophages and the Schwann cells of peripheral nerves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Symptoms, microscopy of lesions and history: </w:t>
            </w:r>
            <w:r>
              <w:rPr>
                <w:b/>
                <w:i w:val="0"/>
                <w:sz w:val="18"/>
              </w:rPr>
              <w:t>numbness in hands and feet</w:t>
            </w:r>
            <w:r>
              <w:rPr>
                <w:b w:val="0"/>
                <w:i w:val="0"/>
                <w:sz w:val="18"/>
              </w:rPr>
              <w:t xml:space="preserve">, loss of heat and cold sensitivity, muscle weakness, thickened earlobes, chronic stuffy nose; </w:t>
            </w:r>
            <w:r>
              <w:rPr>
                <w:b/>
                <w:i w:val="0"/>
                <w:sz w:val="18"/>
              </w:rPr>
              <w:t>acid-fast bacilli in skin lesions</w:t>
            </w:r>
            <w:r>
              <w:rPr>
                <w:b w:val="0"/>
                <w:i w:val="0"/>
                <w:sz w:val="18"/>
              </w:rPr>
              <w:t xml:space="preserve">, nasal discharge and tissue. Where care is scarce, the </w:t>
            </w:r>
            <w:r>
              <w:rPr>
                <w:b/>
                <w:i w:val="0"/>
                <w:sz w:val="18"/>
              </w:rPr>
              <w:t>feather test</w:t>
            </w:r>
            <w:r>
              <w:rPr>
                <w:b w:val="0"/>
                <w:i w:val="0"/>
                <w:sz w:val="18"/>
              </w:rPr>
              <w:t xml:space="preserve"> checks skin sensation</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Long-term combined therapy. The slide gives about </w:t>
            </w:r>
            <w:r>
              <w:rPr>
                <w:b/>
                <w:i w:val="0"/>
                <w:sz w:val="18"/>
              </w:rPr>
              <w:t>6 months for tuberculoid</w:t>
            </w:r>
            <w:r>
              <w:rPr>
                <w:b w:val="0"/>
                <w:i w:val="0"/>
                <w:sz w:val="18"/>
              </w:rPr>
              <w:t xml:space="preserve"> leprosy and </w:t>
            </w:r>
            <w:r>
              <w:rPr>
                <w:b/>
                <w:i w:val="0"/>
                <w:sz w:val="18"/>
              </w:rPr>
              <w:t>up to 2 years for lepromatous</w:t>
            </w:r>
            <w:r>
              <w:rPr>
                <w:b w:val="0"/>
                <w:i w:val="0"/>
                <w:sz w:val="18"/>
              </w:rPr>
              <w:t>, followed by extended single-drug treatment; that is older United States practice. The current United States program uses about 12 months for tuberculoid and about 2 years for lepromatous disease, and the World Health Organization gives all three drugs for both forms (6 and 12 months)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Constant surveillance of high-risk populations; bacille Calmette-Guérin has limited efficacy; a subunit vaccine is in trials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Tuberculoid</w:t>
            </w:r>
          </w:p>
        </w:tc>
        <w:tc>
          <w:tcPr>
            <w:tcW w:type="dxa" w:w="3408"/>
            <w:shd w:val="clear" w:color="auto" w:fill="1F4D2B"/>
          </w:tcPr>
          <w:p>
            <w:pPr>
              <w:spacing w:after="40"/>
            </w:pPr>
            <w:r>
              <w:rPr>
                <w:b/>
                <w:color w:val="FFFFFF"/>
                <w:sz w:val="18"/>
              </w:rPr>
            </w:r>
            <w:r>
              <w:rPr>
                <w:b/>
                <w:i w:val="0"/>
                <w:color w:val="FFFFFF"/>
                <w:sz w:val="18"/>
              </w:rPr>
              <w:t>Lepromatous</w:t>
            </w:r>
          </w:p>
        </w:tc>
      </w:tr>
      <w:tr>
        <w:tc>
          <w:tcPr>
            <w:tcW w:type="dxa" w:w="3408"/>
          </w:tcPr>
          <w:p>
            <w:pPr>
              <w:spacing w:after="40"/>
            </w:pPr>
            <w:r>
              <w:rPr>
                <w:sz w:val="18"/>
              </w:rPr>
            </w:r>
            <w:r>
              <w:rPr>
                <w:b w:val="0"/>
                <w:i w:val="0"/>
                <w:sz w:val="18"/>
              </w:rPr>
              <w:t>Lesions</w:t>
            </w:r>
          </w:p>
        </w:tc>
        <w:tc>
          <w:tcPr>
            <w:tcW w:type="dxa" w:w="3408"/>
          </w:tcPr>
          <w:p>
            <w:pPr>
              <w:spacing w:after="40"/>
            </w:pPr>
            <w:r>
              <w:rPr>
                <w:sz w:val="18"/>
              </w:rPr>
            </w:r>
            <w:r>
              <w:rPr>
                <w:b/>
                <w:i w:val="0"/>
                <w:sz w:val="18"/>
              </w:rPr>
              <w:t>Shallow, asymmetrical</w:t>
            </w:r>
            <w:r>
              <w:rPr>
                <w:b w:val="0"/>
                <w:i w:val="0"/>
                <w:sz w:val="18"/>
              </w:rPr>
              <w:t xml:space="preserve"> lesions; nerve damage with </w:t>
            </w:r>
            <w:r>
              <w:rPr>
                <w:b/>
                <w:i w:val="0"/>
                <w:sz w:val="18"/>
              </w:rPr>
              <w:t>local loss of pain reception</w:t>
            </w:r>
          </w:p>
        </w:tc>
        <w:tc>
          <w:tcPr>
            <w:tcW w:type="dxa" w:w="3408"/>
          </w:tcPr>
          <w:p>
            <w:pPr>
              <w:spacing w:after="40"/>
            </w:pPr>
            <w:r>
              <w:rPr>
                <w:sz w:val="18"/>
              </w:rPr>
            </w:r>
            <w:r>
              <w:rPr>
                <w:b/>
                <w:i w:val="0"/>
                <w:sz w:val="18"/>
              </w:rPr>
              <w:t>Deeply nodular</w:t>
            </w:r>
            <w:r>
              <w:rPr>
                <w:b w:val="0"/>
                <w:i w:val="0"/>
                <w:sz w:val="18"/>
              </w:rPr>
              <w:t xml:space="preserve">, severely disfiguring the face and extremities; </w:t>
            </w:r>
            <w:r>
              <w:rPr>
                <w:b/>
                <w:i w:val="0"/>
                <w:sz w:val="18"/>
              </w:rPr>
              <w:t>widespread dissemination</w:t>
            </w:r>
          </w:p>
        </w:tc>
      </w:tr>
      <w:tr>
        <w:tc>
          <w:tcPr>
            <w:tcW w:type="dxa" w:w="3408"/>
          </w:tcPr>
          <w:p>
            <w:pPr>
              <w:spacing w:after="40"/>
            </w:pPr>
            <w:r>
              <w:rPr>
                <w:sz w:val="18"/>
              </w:rPr>
            </w:r>
            <w:r>
              <w:rPr>
                <w:b w:val="0"/>
                <w:i w:val="0"/>
                <w:sz w:val="18"/>
              </w:rPr>
              <w:t>T helper response</w:t>
            </w:r>
          </w:p>
        </w:tc>
        <w:tc>
          <w:tcPr>
            <w:tcW w:type="dxa" w:w="3408"/>
          </w:tcPr>
          <w:p>
            <w:pPr>
              <w:spacing w:after="40"/>
            </w:pPr>
            <w:r>
              <w:rPr>
                <w:sz w:val="18"/>
              </w:rPr>
            </w:r>
            <w:r>
              <w:rPr>
                <w:b/>
                <w:i w:val="0"/>
                <w:sz w:val="18"/>
              </w:rPr>
              <w:t>T helper 1</w:t>
            </w:r>
            <w:r>
              <w:rPr>
                <w:b w:val="0"/>
                <w:i w:val="0"/>
                <w:sz w:val="18"/>
              </w:rPr>
              <w:t xml:space="preserve"> favors it; normal T-cell responsiveness to the bacillus</w:t>
            </w:r>
          </w:p>
        </w:tc>
        <w:tc>
          <w:tcPr>
            <w:tcW w:type="dxa" w:w="3408"/>
          </w:tcPr>
          <w:p>
            <w:pPr>
              <w:spacing w:after="40"/>
            </w:pPr>
            <w:r>
              <w:rPr>
                <w:sz w:val="18"/>
              </w:rPr>
            </w:r>
            <w:r>
              <w:rPr>
                <w:b/>
                <w:i w:val="0"/>
                <w:sz w:val="18"/>
              </w:rPr>
              <w:t>T helper 2</w:t>
            </w:r>
            <w:r>
              <w:rPr>
                <w:b w:val="0"/>
                <w:i w:val="0"/>
                <w:sz w:val="18"/>
              </w:rPr>
              <w:t xml:space="preserve"> favors it; </w:t>
            </w:r>
            <w:r>
              <w:rPr>
                <w:b/>
                <w:i w:val="0"/>
                <w:sz w:val="18"/>
              </w:rPr>
              <w:t>low or absent T-cell responsiveness</w:t>
            </w:r>
          </w:p>
        </w:tc>
      </w:tr>
      <w:tr>
        <w:tc>
          <w:tcPr>
            <w:tcW w:type="dxa" w:w="3408"/>
          </w:tcPr>
          <w:p>
            <w:pPr>
              <w:spacing w:after="40"/>
            </w:pPr>
            <w:r>
              <w:rPr>
                <w:sz w:val="18"/>
              </w:rPr>
            </w:r>
            <w:r>
              <w:rPr>
                <w:b w:val="0"/>
                <w:i w:val="0"/>
                <w:sz w:val="18"/>
              </w:rPr>
              <w:t>Organisms and infectivity</w:t>
            </w:r>
          </w:p>
        </w:tc>
        <w:tc>
          <w:tcPr>
            <w:tcW w:type="dxa" w:w="3408"/>
          </w:tcPr>
          <w:p>
            <w:pPr>
              <w:spacing w:after="40"/>
            </w:pPr>
            <w:r>
              <w:rPr>
                <w:sz w:val="18"/>
              </w:rPr>
            </w:r>
            <w:r>
              <w:rPr>
                <w:b w:val="0"/>
                <w:i w:val="0"/>
                <w:sz w:val="18"/>
              </w:rPr>
              <w:t>Low to undetectable organisms; low infectivity; granulomas and local inflammation</w:t>
            </w:r>
          </w:p>
        </w:tc>
        <w:tc>
          <w:tcPr>
            <w:tcW w:type="dxa" w:w="3408"/>
          </w:tcPr>
          <w:p>
            <w:pPr>
              <w:spacing w:after="40"/>
            </w:pPr>
            <w:r>
              <w:rPr>
                <w:sz w:val="18"/>
              </w:rPr>
            </w:r>
            <w:r>
              <w:rPr>
                <w:b w:val="0"/>
                <w:i w:val="0"/>
                <w:sz w:val="18"/>
              </w:rPr>
              <w:t>Florid growth in macrophages; high infectivity; hypergammaglobulinemia</w:t>
            </w:r>
          </w:p>
        </w:tc>
      </w:tr>
    </w:tbl>
    <w:p>
      <w:pPr>
        <w:spacing w:after="80"/>
      </w:pPr>
    </w:p>
    <w:p>
      <w:pPr>
        <w:jc w:val="center"/>
      </w:pPr>
      <w:r>
        <w:drawing>
          <wp:inline xmlns:a="http://schemas.openxmlformats.org/drawingml/2006/main" xmlns:pic="http://schemas.openxmlformats.org/drawingml/2006/picture">
            <wp:extent cx="3840480" cy="4408802"/>
            <wp:docPr id="35" name="Picture 35"/>
            <wp:cNvGraphicFramePr>
              <a:graphicFrameLocks noChangeAspect="1"/>
            </wp:cNvGraphicFramePr>
            <a:graphic>
              <a:graphicData uri="http://schemas.openxmlformats.org/drawingml/2006/picture">
                <pic:pic>
                  <pic:nvPicPr>
                    <pic:cNvPr id="0" name="Microbiology_Exam_2_micro-exam-2-study-guide-images_l10-s84-leprosy-polar-forms.jpg"/>
                    <pic:cNvPicPr/>
                  </pic:nvPicPr>
                  <pic:blipFill>
                    <a:blip r:embed="rId43"/>
                    <a:stretch>
                      <a:fillRect/>
                    </a:stretch>
                  </pic:blipFill>
                  <pic:spPr>
                    <a:xfrm>
                      <a:off x="0" y="0"/>
                      <a:ext cx="3840480" cy="4408802"/>
                    </a:xfrm>
                    <a:prstGeom prst="rect"/>
                  </pic:spPr>
                </pic:pic>
              </a:graphicData>
            </a:graphic>
          </wp:inline>
        </w:drawing>
      </w:r>
    </w:p>
    <w:p>
      <w:pPr>
        <w:spacing w:after="160"/>
        <w:jc w:val="center"/>
      </w:pPr>
      <w:r>
        <w:rPr>
          <w:sz w:val="15"/>
        </w:rPr>
        <w:t>The two polar forms (several intermediate forms exist). The severity of lepromatous leprosy follows from its failed T-cell response: the bacilli grow freely in macrophages. Source: Lecture 9 Dr. Webster Gram positive Bacilli.pptx, Slide 84.</w:t>
      </w:r>
    </w:p>
    <w:p>
      <w:pPr>
        <w:jc w:val="center"/>
      </w:pPr>
      <w:r>
        <w:drawing>
          <wp:inline xmlns:a="http://schemas.openxmlformats.org/drawingml/2006/main" xmlns:pic="http://schemas.openxmlformats.org/drawingml/2006/picture">
            <wp:extent cx="3840480" cy="4750652"/>
            <wp:docPr id="36" name="Picture 36"/>
            <wp:cNvGraphicFramePr>
              <a:graphicFrameLocks noChangeAspect="1"/>
            </wp:cNvGraphicFramePr>
            <a:graphic>
              <a:graphicData uri="http://schemas.openxmlformats.org/drawingml/2006/picture">
                <pic:pic>
                  <pic:nvPicPr>
                    <pic:cNvPr id="0" name="Microbiology_Exam_2_micro-exam-2-study-guide-images_l10-s88-feather-test.jpg"/>
                    <pic:cNvPicPr/>
                  </pic:nvPicPr>
                  <pic:blipFill>
                    <a:blip r:embed="rId44"/>
                    <a:stretch>
                      <a:fillRect/>
                    </a:stretch>
                  </pic:blipFill>
                  <pic:spPr>
                    <a:xfrm>
                      <a:off x="0" y="0"/>
                      <a:ext cx="3840480" cy="4750652"/>
                    </a:xfrm>
                    <a:prstGeom prst="rect"/>
                  </pic:spPr>
                </pic:pic>
              </a:graphicData>
            </a:graphic>
          </wp:inline>
        </w:drawing>
      </w:r>
    </w:p>
    <w:p>
      <w:pPr>
        <w:spacing w:after="160"/>
        <w:jc w:val="center"/>
      </w:pPr>
      <w:r>
        <w:rPr>
          <w:sz w:val="15"/>
        </w:rPr>
        <w:t>The feather test. A low-cost check for the lost skin sensation of leprosy where medical care is scarce: can the patient feel the feather? Source: Lecture 9 Dr. Webster Gram positive Bacilli.pptx, Slide 88.</w:t>
      </w:r>
    </w:p>
    <w:p>
      <w:pPr>
        <w:spacing w:after="120"/>
      </w:pPr>
      <w:r>
        <w:rPr>
          <w:b w:val="0"/>
          <w:i w:val="0"/>
        </w:rPr>
        <w:t>Also tested</w:t>
      </w:r>
    </w:p>
    <w:p>
      <w:pPr>
        <w:pStyle w:val="ListBullet"/>
        <w:spacing w:after="40"/>
      </w:pPr>
      <w:r>
        <w:rPr>
          <w:b/>
          <w:i w:val="0"/>
          <w:sz w:val="20"/>
        </w:rPr>
        <w:t>Lepromatous leprosy lesions.</w:t>
      </w:r>
      <w:r>
        <w:rPr>
          <w:b w:val="0"/>
          <w:i w:val="0"/>
          <w:sz w:val="20"/>
        </w:rPr>
        <w:t xml:space="preserve"> Deep, disfiguring nodules of the face are lepromatous leprosy, the widely disseminated form.</w:t>
      </w:r>
    </w:p>
    <w:p>
      <w:pPr>
        <w:pStyle w:val="ListBullet"/>
        <w:spacing w:after="40"/>
      </w:pPr>
      <w:r>
        <w:rPr>
          <w:b/>
          <w:i w:val="0"/>
          <w:sz w:val="20"/>
        </w:rPr>
        <w:t>T helper response in leprosy.</w:t>
      </w:r>
      <w:r>
        <w:rPr>
          <w:b w:val="0"/>
          <w:i w:val="0"/>
          <w:sz w:val="20"/>
        </w:rPr>
        <w:t xml:space="preserve"> A T helper 2 response tends to favor the lepromatous form, while T helper 1 favors the tuberculoid form.</w:t>
      </w:r>
    </w:p>
    <w:p>
      <w:pPr>
        <w:pStyle w:val="Heading2"/>
        <w:spacing w:before="200" w:after="100"/>
      </w:pPr>
      <w:r>
        <w:rPr>
          <w:rFonts w:ascii="Georgia" w:hAnsi="Georgia"/>
          <w:color w:val="1F4D2B"/>
        </w:rPr>
        <w:t>10.13 · Objective 1 — Actinomyces and Nocardia (filamentous bacilli)</w:t>
      </w:r>
    </w:p>
    <w:p>
      <w:pPr>
        <w:spacing w:after="120"/>
      </w:pPr>
      <w:r>
        <w:rPr>
          <w:b w:val="0"/>
          <w:i w:val="0"/>
        </w:rPr>
        <w:t xml:space="preserve">The genera </w:t>
      </w:r>
      <w:r>
        <w:rPr>
          <w:b w:val="0"/>
          <w:i/>
        </w:rPr>
        <w:t>Actinomyces</w:t>
      </w:r>
      <w:r>
        <w:rPr>
          <w:b w:val="0"/>
          <w:i w:val="0"/>
        </w:rPr>
        <w:t xml:space="preserve"> and </w:t>
      </w:r>
      <w:r>
        <w:rPr>
          <w:b w:val="0"/>
          <w:i/>
        </w:rPr>
        <w:t>Nocardia</w:t>
      </w:r>
      <w:r>
        <w:rPr>
          <w:b w:val="0"/>
          <w:i w:val="0"/>
        </w:rPr>
        <w:t xml:space="preserve"> are </w:t>
      </w:r>
      <w:r>
        <w:rPr>
          <w:b/>
          <w:i w:val="0"/>
        </w:rPr>
        <w:t>nonmotile filamentous bacteria related to the mycobacteria</w:t>
      </w:r>
      <w:r>
        <w:rPr>
          <w:b w:val="0"/>
          <w:i w:val="0"/>
        </w:rPr>
        <w:t>, and may cause chronic infection of skin and soft tissue.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A normally harmless resident of the oral cavity, digestive tract and genital tract; </w:t>
            </w:r>
            <w:r>
              <w:rPr>
                <w:b w:val="0"/>
                <w:i w:val="0"/>
                <w:sz w:val="18"/>
                <w:highlight w:val="yellow"/>
              </w:rPr>
              <w:t xml:space="preserve">it causes chronic, hard-to-diagnose infection </w:t>
            </w:r>
            <w:r>
              <w:rPr>
                <w:b/>
                <w:i w:val="0"/>
                <w:sz w:val="18"/>
                <w:highlight w:val="yellow"/>
              </w:rPr>
              <w:t>when it gains access to deeper tissues</w:t>
            </w:r>
            <w:r>
              <w:rPr>
                <w:b w:val="0"/>
                <w:i w:val="0"/>
                <w:sz w:val="18"/>
              </w:rPr>
              <w:t xml:space="preserve">. </w:t>
            </w:r>
            <w:r>
              <w:rPr>
                <w:b/>
                <w:i w:val="0"/>
                <w:sz w:val="18"/>
              </w:rPr>
              <w:t>Cervicofacial</w:t>
            </w:r>
            <w:r>
              <w:rPr>
                <w:b w:val="0"/>
                <w:i w:val="0"/>
                <w:sz w:val="18"/>
              </w:rPr>
              <w:t xml:space="preserve"> disease: a complication of </w:t>
            </w:r>
            <w:r>
              <w:rPr>
                <w:b/>
                <w:i w:val="0"/>
                <w:sz w:val="18"/>
              </w:rPr>
              <w:t>oral infection</w:t>
            </w:r>
            <w:r>
              <w:rPr>
                <w:b w:val="0"/>
                <w:i w:val="0"/>
                <w:sz w:val="18"/>
              </w:rPr>
              <w:t xml:space="preserve">. </w:t>
            </w:r>
            <w:r>
              <w:rPr>
                <w:b/>
                <w:i w:val="0"/>
                <w:sz w:val="18"/>
              </w:rPr>
              <w:t>Thoracic</w:t>
            </w:r>
            <w:r>
              <w:rPr>
                <w:b w:val="0"/>
                <w:i w:val="0"/>
                <w:sz w:val="18"/>
              </w:rPr>
              <w:t xml:space="preserve">: a necrotizing lung disorder. </w:t>
            </w:r>
            <w:r>
              <w:rPr>
                <w:b/>
                <w:i w:val="0"/>
                <w:sz w:val="18"/>
              </w:rPr>
              <w:t>Abdominal</w:t>
            </w:r>
            <w:r>
              <w:rPr>
                <w:b w:val="0"/>
                <w:i w:val="0"/>
                <w:sz w:val="18"/>
              </w:rPr>
              <w:t xml:space="preserve">: a complication of a </w:t>
            </w:r>
            <w:r>
              <w:rPr>
                <w:b/>
                <w:i w:val="0"/>
                <w:sz w:val="18"/>
              </w:rPr>
              <w:t>burst appendix</w:t>
            </w:r>
            <w:r>
              <w:rPr>
                <w:b w:val="0"/>
                <w:i w:val="0"/>
                <w:sz w:val="18"/>
              </w:rPr>
              <w:t xml:space="preserve">, gunshot wounds or ulcers. </w:t>
            </w:r>
            <w:r>
              <w:rPr>
                <w:b/>
                <w:i w:val="0"/>
                <w:sz w:val="18"/>
              </w:rPr>
              <w:t>Uterine</w:t>
            </w:r>
            <w:r>
              <w:rPr>
                <w:b w:val="0"/>
                <w:i w:val="0"/>
                <w:sz w:val="18"/>
              </w:rPr>
              <w:t xml:space="preserve">: a complication of </w:t>
            </w:r>
            <w:r>
              <w:rPr>
                <w:b/>
                <w:i w:val="0"/>
                <w:sz w:val="18"/>
              </w:rPr>
              <w:t>intrauterine devices</w:t>
            </w:r>
            <w:r>
              <w:rPr>
                <w:b w:val="0"/>
                <w:i w:val="0"/>
                <w:sz w:val="18"/>
              </w:rPr>
              <w:t>. Treated surgically and with antibiotics</w:t>
            </w:r>
          </w:p>
        </w:tc>
      </w:tr>
      <w:tr>
        <w:tc>
          <w:tcPr>
            <w:tcW w:type="dxa" w:w="5112"/>
          </w:tcPr>
          <w:p>
            <w:pPr>
              <w:spacing w:after="40"/>
            </w:pPr>
            <w:r>
              <w:rPr>
                <w:sz w:val="18"/>
              </w:rPr>
            </w:r>
            <w:r>
              <w:rPr>
                <w:b w:val="0"/>
                <w:i/>
                <w:sz w:val="18"/>
              </w:rPr>
              <w:t>Actinomyces viscosus</w:t>
            </w:r>
          </w:p>
        </w:tc>
        <w:tc>
          <w:tcPr>
            <w:tcW w:type="dxa" w:w="5112"/>
          </w:tcPr>
          <w:p>
            <w:pPr>
              <w:spacing w:after="40"/>
            </w:pPr>
            <w:r>
              <w:rPr>
                <w:sz w:val="18"/>
              </w:rPr>
            </w:r>
            <w:r>
              <w:rPr>
                <w:b/>
                <w:i w:val="0"/>
                <w:sz w:val="18"/>
              </w:rPr>
              <w:t>Dental caries</w:t>
            </w:r>
            <w:r>
              <w:rPr>
                <w:b w:val="0"/>
                <w:i w:val="0"/>
                <w:sz w:val="18"/>
              </w:rPr>
              <w:t xml:space="preserve">, and some cases of </w:t>
            </w:r>
            <w:r>
              <w:rPr>
                <w:b/>
                <w:i w:val="0"/>
                <w:sz w:val="18"/>
              </w:rPr>
              <w:t>endocarditis</w:t>
            </w:r>
          </w:p>
        </w:tc>
      </w:tr>
      <w:tr>
        <w:tc>
          <w:tcPr>
            <w:tcW w:type="dxa" w:w="5112"/>
          </w:tcPr>
          <w:p>
            <w:pPr>
              <w:spacing w:after="40"/>
            </w:pPr>
            <w:r>
              <w:rPr>
                <w:sz w:val="18"/>
              </w:rPr>
            </w:r>
            <w:r>
              <w:rPr>
                <w:b w:val="0"/>
                <w:i/>
                <w:sz w:val="18"/>
              </w:rPr>
              <w:t>Nocardia</w:t>
            </w:r>
            <w:r>
              <w:rPr>
                <w:b w:val="0"/>
                <w:i w:val="0"/>
                <w:sz w:val="18"/>
              </w:rPr>
              <w:t xml:space="preserve"> (nocardiosis)</w:t>
            </w:r>
          </w:p>
        </w:tc>
        <w:tc>
          <w:tcPr>
            <w:tcW w:type="dxa" w:w="5112"/>
          </w:tcPr>
          <w:p>
            <w:pPr>
              <w:spacing w:after="40"/>
            </w:pPr>
            <w:r>
              <w:rPr>
                <w:sz w:val="18"/>
              </w:rPr>
            </w:r>
            <w:r>
              <w:rPr>
                <w:b w:val="0"/>
                <w:i w:val="0"/>
                <w:sz w:val="18"/>
              </w:rPr>
              <w:t xml:space="preserve">Pulmonary, cutaneous or subcutaneous infections. </w:t>
            </w:r>
            <w:r>
              <w:rPr>
                <w:b/>
                <w:i w:val="0"/>
                <w:sz w:val="18"/>
              </w:rPr>
              <w:t>Pulmonary nocardiosis resembles tuberculosis</w:t>
            </w:r>
            <w:r>
              <w:rPr>
                <w:b w:val="0"/>
                <w:i w:val="0"/>
                <w:sz w:val="18"/>
              </w:rPr>
              <w:t xml:space="preserve">, and lesions may extend through the chest wall and disseminate to the brain and kidneys. Also causes </w:t>
            </w:r>
            <w:r>
              <w:rPr>
                <w:b/>
                <w:i w:val="0"/>
                <w:sz w:val="18"/>
              </w:rPr>
              <w:t>mycetoma: a granulomatous inflammatory response in the deep dermis and subcutaneous tissue</w:t>
            </w:r>
          </w:p>
        </w:tc>
      </w:tr>
    </w:tbl>
    <w:p>
      <w:pPr>
        <w:spacing w:after="80"/>
      </w:pPr>
    </w:p>
    <w:p>
      <w:pPr>
        <w:pStyle w:val="Heading2"/>
        <w:spacing w:before="200" w:after="100"/>
      </w:pPr>
      <w:r>
        <w:rPr>
          <w:rFonts w:ascii="Georgia" w:hAnsi="Georgia"/>
          <w:color w:val="1F4D2B"/>
        </w:rPr>
        <w:t>10.14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from spores: </w:t>
            </w:r>
            <w:r>
              <w:rPr>
                <w:b/>
                <w:i w:val="0"/>
                <w:sz w:val="18"/>
              </w:rPr>
              <w:t>through a cut</w:t>
            </w:r>
            <w:r>
              <w:rPr>
                <w:b w:val="0"/>
                <w:i w:val="0"/>
                <w:sz w:val="18"/>
              </w:rPr>
              <w:t xml:space="preserve"> (cutaneous), </w:t>
            </w:r>
            <w:r>
              <w:rPr>
                <w:b/>
                <w:i w:val="0"/>
                <w:sz w:val="18"/>
              </w:rPr>
              <w:t>inhaled from animal wool or soil</w:t>
            </w:r>
            <w:r>
              <w:rPr>
                <w:b w:val="0"/>
                <w:i w:val="0"/>
                <w:sz w:val="18"/>
              </w:rPr>
              <w:t xml:space="preserve"> (pulmonary), </w:t>
            </w:r>
            <w:r>
              <w:rPr>
                <w:b/>
                <w:i w:val="0"/>
                <w:sz w:val="18"/>
              </w:rPr>
              <w:t>eaten in meat from an infected animal</w:t>
            </w:r>
            <w:r>
              <w:rPr>
                <w:b w:val="0"/>
                <w:i w:val="0"/>
                <w:sz w:val="18"/>
              </w:rPr>
              <w:t xml:space="preserve"> (gastrointestinal), </w:t>
            </w:r>
            <w:r>
              <w:rPr>
                <w:b/>
                <w:i w:val="0"/>
                <w:sz w:val="18"/>
              </w:rPr>
              <w:t>injected with contaminated heroin</w:t>
            </w:r>
            <w:r>
              <w:rPr>
                <w:b w:val="0"/>
                <w:i w:val="0"/>
                <w:sz w:val="18"/>
              </w:rPr>
              <w:t xml:space="preserve"> (injection)</w:t>
            </w:r>
          </w:p>
        </w:tc>
      </w:tr>
      <w:tr>
        <w:tc>
          <w:tcPr>
            <w:tcW w:type="dxa" w:w="5112"/>
          </w:tcPr>
          <w:p>
            <w:pPr>
              <w:spacing w:after="40"/>
            </w:pPr>
            <w:r>
              <w:rPr>
                <w:sz w:val="18"/>
              </w:rPr>
            </w:r>
            <w:r>
              <w:rPr>
                <w:b w:val="0"/>
                <w:i/>
                <w:sz w:val="18"/>
              </w:rPr>
              <w:t>Bacillus cereus</w:t>
            </w:r>
          </w:p>
        </w:tc>
        <w:tc>
          <w:tcPr>
            <w:tcW w:type="dxa" w:w="5112"/>
          </w:tcPr>
          <w:p>
            <w:pPr>
              <w:spacing w:after="40"/>
            </w:pPr>
            <w:r>
              <w:rPr>
                <w:sz w:val="18"/>
              </w:rPr>
            </w:r>
            <w:r>
              <w:rPr>
                <w:b/>
                <w:i w:val="0"/>
                <w:sz w:val="18"/>
              </w:rPr>
              <w:t>Food</w:t>
            </w:r>
            <w:r>
              <w:rPr>
                <w:b w:val="0"/>
                <w:i w:val="0"/>
                <w:sz w:val="18"/>
              </w:rPr>
              <w:t xml:space="preserve"> (rice, potatoes, meat), from airborne and dustborne spores that survive cooking and reheating; contaminated alcohol prep pads at injection sites</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w:t>
            </w:r>
            <w:r>
              <w:rPr>
                <w:b/>
                <w:i w:val="0"/>
                <w:sz w:val="18"/>
              </w:rPr>
              <w:t>deep, dirty wounds with dead tissue</w:t>
            </w:r>
            <w:r>
              <w:rPr>
                <w:b w:val="0"/>
                <w:i w:val="0"/>
                <w:sz w:val="18"/>
              </w:rPr>
              <w:t xml:space="preserve"> (compound fractures, incisions, diabetic ulcers, septic abortions, puncture and gunshot wounds); </w:t>
            </w:r>
            <w:r>
              <w:rPr>
                <w:b/>
                <w:i w:val="0"/>
                <w:sz w:val="18"/>
              </w:rPr>
              <w:t>undercooked meat and fish</w:t>
            </w:r>
            <w:r>
              <w:rPr>
                <w:b w:val="0"/>
                <w:i w:val="0"/>
                <w:sz w:val="18"/>
              </w:rPr>
              <w:t xml:space="preserve"> for food poisoning</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through </w:t>
            </w:r>
            <w:r>
              <w:rPr>
                <w:b/>
                <w:i w:val="0"/>
                <w:sz w:val="18"/>
              </w:rPr>
              <w:t>puncture wounds</w:t>
            </w:r>
            <w:r>
              <w:rPr>
                <w:b w:val="0"/>
                <w:i w:val="0"/>
                <w:sz w:val="18"/>
              </w:rPr>
              <w:t xml:space="preserve">, burns, frostbite, crush injuries, and the </w:t>
            </w:r>
            <w:r>
              <w:rPr>
                <w:b/>
                <w:i w:val="0"/>
                <w:sz w:val="18"/>
              </w:rPr>
              <w:t>umbilical stump</w:t>
            </w:r>
            <w:r>
              <w:rPr>
                <w:b w:val="0"/>
                <w:i w:val="0"/>
                <w:sz w:val="18"/>
              </w:rPr>
              <w:t xml:space="preserve"> in newborns</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w:t>
            </w:r>
            <w:r>
              <w:rPr>
                <w:b/>
                <w:i w:val="0"/>
                <w:sz w:val="18"/>
              </w:rPr>
              <w:t>low-acid, home-canned foods</w:t>
            </w:r>
            <w:r>
              <w:rPr>
                <w:b w:val="0"/>
                <w:i w:val="0"/>
                <w:sz w:val="18"/>
              </w:rPr>
              <w:t xml:space="preserve">; </w:t>
            </w:r>
            <w:r>
              <w:rPr>
                <w:b/>
                <w:i w:val="0"/>
                <w:sz w:val="18"/>
              </w:rPr>
              <w:t>swallowed spores</w:t>
            </w:r>
            <w:r>
              <w:rPr>
                <w:b w:val="0"/>
                <w:i w:val="0"/>
                <w:sz w:val="18"/>
              </w:rPr>
              <w:t xml:space="preserve"> in infants (honey, homemade baby food); spores in </w:t>
            </w:r>
            <w:r>
              <w:rPr>
                <w:b/>
                <w:i w:val="0"/>
                <w:sz w:val="18"/>
              </w:rPr>
              <w:t>wounds</w:t>
            </w:r>
            <w:r>
              <w:rPr>
                <w:b w:val="0"/>
                <w:i w:val="0"/>
                <w:sz w:val="18"/>
              </w:rPr>
              <w:t xml:space="preserve"> (black tar heroin); medical use of the toxin</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Overgrowth of the patient’s own colonic resident after </w:t>
            </w:r>
            <w:r>
              <w:rPr>
                <w:b/>
                <w:i w:val="0"/>
                <w:sz w:val="18"/>
              </w:rPr>
              <w:t>broad-spectrum antibiotics</w:t>
            </w:r>
            <w:r>
              <w:rPr>
                <w:b w:val="0"/>
                <w:i w:val="0"/>
                <w:sz w:val="18"/>
              </w:rPr>
              <w:t xml:space="preserve">; spread in </w:t>
            </w:r>
            <w:r>
              <w:rPr>
                <w:b/>
                <w:i w:val="0"/>
                <w:sz w:val="18"/>
              </w:rPr>
              <w:t>hospitals and healthcare settings</w:t>
            </w:r>
            <w:r>
              <w:rPr>
                <w:b w:val="0"/>
                <w:i w:val="0"/>
                <w:sz w:val="18"/>
              </w:rPr>
              <w:t>, where precautions prevent spread</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From soil, water and animal intestines into </w:t>
            </w:r>
            <w:r>
              <w:rPr>
                <w:b/>
                <w:i w:val="0"/>
                <w:sz w:val="18"/>
              </w:rPr>
              <w:t>food: dairy, poultry and meat</w:t>
            </w:r>
            <w:r>
              <w:rPr>
                <w:b w:val="0"/>
                <w:i w:val="0"/>
                <w:sz w:val="18"/>
              </w:rPr>
              <w:t xml:space="preserve">, where it </w:t>
            </w:r>
            <w:r>
              <w:rPr>
                <w:b/>
                <w:i w:val="0"/>
                <w:sz w:val="18"/>
              </w:rPr>
              <w:t>grows during refrigeration</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i w:val="0"/>
                <w:sz w:val="18"/>
              </w:rPr>
              <w:t>Respiratory droplets</w:t>
            </w:r>
            <w:r>
              <w:rPr>
                <w:b w:val="0"/>
                <w:i w:val="0"/>
                <w:sz w:val="18"/>
              </w:rPr>
              <w:t xml:space="preserve"> from healthy carriers or patients</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The patient’s own skin resident, onto </w:t>
            </w:r>
            <w:r>
              <w:rPr>
                <w:b/>
                <w:i w:val="0"/>
                <w:sz w:val="18"/>
              </w:rPr>
              <w:t>implants and prosthetics</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i w:val="0"/>
                <w:sz w:val="18"/>
              </w:rPr>
              <w:t>Airborne respiratory droplets</w:t>
            </w:r>
            <w:r>
              <w:rPr>
                <w:b w:val="0"/>
                <w:i w:val="0"/>
                <w:sz w:val="18"/>
              </w:rPr>
              <w:t>; an infectious dose of about 10 cells</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i w:val="0"/>
                <w:sz w:val="18"/>
              </w:rPr>
              <w:t>Not fully verified</w:t>
            </w:r>
            <w:r>
              <w:rPr>
                <w:b w:val="0"/>
                <w:i w:val="0"/>
                <w:sz w:val="18"/>
              </w:rPr>
              <w:t xml:space="preserve">; possibly </w:t>
            </w:r>
            <w:r>
              <w:rPr>
                <w:b/>
                <w:i w:val="0"/>
                <w:sz w:val="18"/>
              </w:rPr>
              <w:t>zoonotic from armadillos</w:t>
            </w:r>
            <w:r>
              <w:rPr>
                <w:b w:val="0"/>
                <w:i w:val="0"/>
                <w:sz w:val="18"/>
              </w:rPr>
              <w:t>; prolonged close contact (recording)</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patient’s own oral, digestive or genital resident </w:t>
            </w:r>
            <w:r>
              <w:rPr>
                <w:b/>
                <w:i w:val="0"/>
                <w:sz w:val="18"/>
              </w:rPr>
              <w:t>reaching deeper tissue</w:t>
            </w:r>
            <w:r>
              <w:rPr>
                <w:b w:val="0"/>
                <w:i w:val="0"/>
                <w:sz w:val="18"/>
              </w:rPr>
              <w:t>: oral infection, burst appendix, gunshot wounds, ulcers, intrauterine devices</w:t>
            </w:r>
          </w:p>
        </w:tc>
      </w:tr>
      <w:tr>
        <w:tc>
          <w:tcPr>
            <w:tcW w:type="dxa" w:w="5112"/>
          </w:tcPr>
          <w:p>
            <w:pPr>
              <w:spacing w:after="40"/>
            </w:pPr>
            <w:r>
              <w:rPr>
                <w:sz w:val="18"/>
              </w:rPr>
            </w:r>
            <w:r>
              <w:rPr>
                <w:b w:val="0"/>
                <w:i/>
                <w:sz w:val="18"/>
              </w:rPr>
              <w:t>Erysipelothrix rhusiopathiae</w:t>
            </w:r>
          </w:p>
        </w:tc>
        <w:tc>
          <w:tcPr>
            <w:tcW w:type="dxa" w:w="5112"/>
          </w:tcPr>
          <w:p>
            <w:pPr>
              <w:spacing w:after="40"/>
            </w:pPr>
            <w:r>
              <w:rPr>
                <w:sz w:val="18"/>
              </w:rPr>
            </w:r>
            <w:r>
              <w:rPr>
                <w:b w:val="0"/>
                <w:i w:val="0"/>
                <w:sz w:val="18"/>
              </w:rPr>
              <w:t>From pigs, through skin abrasions (de-emphasized)</w:t>
            </w:r>
          </w:p>
        </w:tc>
      </w:tr>
    </w:tbl>
    <w:p>
      <w:pPr>
        <w:spacing w:after="80"/>
      </w:pPr>
    </w:p>
    <w:p>
      <w:pPr>
        <w:pStyle w:val="Heading2"/>
        <w:spacing w:before="200" w:after="100"/>
      </w:pPr>
      <w:r>
        <w:rPr>
          <w:rFonts w:ascii="Georgia" w:hAnsi="Georgia"/>
          <w:color w:val="1F4D2B"/>
        </w:rPr>
        <w:t>10.15 · Where the slide, the recording and current practice differ</w:t>
      </w:r>
    </w:p>
    <w:p>
      <w:pPr>
        <w:spacing w:after="120"/>
      </w:pPr>
      <w:r>
        <w:rPr>
          <w:b w:val="0"/>
          <w:i w:val="0"/>
        </w:rPr>
        <w:t xml:space="preserve">The quizzes key what is medically true. Where a slide or the recording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Tetanus mechanism (slides 29–30; recording part 1, 29:14).</w:t>
      </w:r>
      <w:r>
        <w:rPr>
          <w:b w:val="0"/>
          <w:i w:val="0"/>
          <w:sz w:val="20"/>
        </w:rPr>
        <w:t xml:space="preserve"> Slide 29 says tetanospasmin binds motor nerve endings and blocks gamma-aminobutyric acid and glycine; the recording once summarized it as blocking release at the neuromuscular junction. The toxin enters at motor nerve endings, travels back to the spinal cord and blocks the inhibitory transmitters there (slide 30). </w:t>
      </w:r>
      <w:r>
        <w:rPr>
          <w:b w:val="0"/>
          <w:i/>
          <w:sz w:val="20"/>
        </w:rPr>
        <w:t>Keyed:</w:t>
      </w:r>
      <w:r>
        <w:rPr>
          <w:b w:val="0"/>
          <w:i w:val="0"/>
          <w:sz w:val="20"/>
        </w:rPr>
        <w:t xml:space="preserve"> it blocks gamma-aminobutyric acid and glycine; the neuromuscular junction is botulism.</w:t>
      </w:r>
    </w:p>
    <w:p>
      <w:pPr>
        <w:pStyle w:val="ListBullet"/>
        <w:spacing w:after="40"/>
      </w:pPr>
      <w:r>
        <w:rPr>
          <w:b/>
          <w:i w:val="0"/>
          <w:sz w:val="20"/>
        </w:rPr>
        <w:t>Irregular rods (slide 59).</w:t>
      </w:r>
      <w:r>
        <w:rPr>
          <w:b w:val="0"/>
          <w:i w:val="0"/>
          <w:sz w:val="20"/>
        </w:rPr>
        <w:t xml:space="preserve"> “All produce catalase” and “possess mycolic acids” hold for </w:t>
      </w:r>
      <w:r>
        <w:rPr>
          <w:b w:val="0"/>
          <w:i/>
          <w:sz w:val="20"/>
        </w:rPr>
        <w:t>Corynebacterium</w:t>
      </w:r>
      <w:r>
        <w:rPr>
          <w:b w:val="0"/>
          <w:i w:val="0"/>
          <w:sz w:val="20"/>
        </w:rPr>
        <w:t xml:space="preserve">, </w:t>
      </w:r>
      <w:r>
        <w:rPr>
          <w:b w:val="0"/>
          <w:i/>
          <w:sz w:val="20"/>
        </w:rPr>
        <w:t>Mycobacterium</w:t>
      </w:r>
      <w:r>
        <w:rPr>
          <w:b w:val="0"/>
          <w:i w:val="0"/>
          <w:sz w:val="20"/>
        </w:rPr>
        <w:t xml:space="preserve"> and </w:t>
      </w:r>
      <w:r>
        <w:rPr>
          <w:b w:val="0"/>
          <w:i/>
          <w:sz w:val="20"/>
        </w:rPr>
        <w:t>Nocardia</w:t>
      </w:r>
      <w:r>
        <w:rPr>
          <w:b w:val="0"/>
          <w:i w:val="0"/>
          <w:sz w:val="20"/>
        </w:rPr>
        <w:t xml:space="preserve">; </w:t>
      </w:r>
      <w:r>
        <w:rPr>
          <w:b w:val="0"/>
          <w:i/>
          <w:sz w:val="20"/>
        </w:rPr>
        <w:t>Actinomyces</w:t>
      </w:r>
      <w:r>
        <w:rPr>
          <w:b w:val="0"/>
          <w:i w:val="0"/>
          <w:sz w:val="20"/>
        </w:rPr>
        <w:t xml:space="preserve"> is catalase negative and lacks mycolic acids, and </w:t>
      </w:r>
      <w:r>
        <w:rPr>
          <w:b w:val="0"/>
          <w:i/>
          <w:sz w:val="20"/>
        </w:rPr>
        <w:t>Cutibacterium</w:t>
      </w:r>
      <w:r>
        <w:rPr>
          <w:b w:val="0"/>
          <w:i w:val="0"/>
          <w:sz w:val="20"/>
        </w:rPr>
        <w:t xml:space="preserve"> lacks mycolic acids. </w:t>
      </w:r>
      <w:r>
        <w:rPr>
          <w:b w:val="0"/>
          <w:i/>
          <w:sz w:val="20"/>
        </w:rPr>
        <w:t>Keyed</w:t>
      </w:r>
      <w:r>
        <w:rPr>
          <w:b w:val="0"/>
          <w:i w:val="0"/>
          <w:sz w:val="20"/>
        </w:rPr>
        <w:t xml:space="preserve"> only as “Corynebacterium and Mycobacterium share mycolic acids”.</w:t>
      </w:r>
    </w:p>
    <w:p>
      <w:pPr>
        <w:pStyle w:val="ListBullet"/>
        <w:spacing w:after="40"/>
      </w:pPr>
      <w:r>
        <w:rPr>
          <w:b/>
          <w:i/>
          <w:sz w:val="20"/>
        </w:rPr>
        <w:t>Nocardia</w:t>
      </w:r>
      <w:r>
        <w:rPr>
          <w:b/>
          <w:i w:val="0"/>
          <w:sz w:val="20"/>
        </w:rPr>
        <w:t xml:space="preserve"> species (slide 94).</w:t>
      </w:r>
      <w:r>
        <w:rPr>
          <w:b w:val="0"/>
          <w:i w:val="0"/>
          <w:sz w:val="20"/>
        </w:rPr>
        <w:t xml:space="preserve"> The slide gives the tuberculosis-like lung disease to </w:t>
      </w:r>
      <w:r>
        <w:rPr>
          <w:b w:val="0"/>
          <w:i/>
          <w:sz w:val="20"/>
        </w:rPr>
        <w:t>N. brasiliensis</w:t>
      </w:r>
      <w:r>
        <w:rPr>
          <w:b w:val="0"/>
          <w:i w:val="0"/>
          <w:sz w:val="20"/>
        </w:rPr>
        <w:t xml:space="preserve">; pulmonary nocardiosis is mainly the </w:t>
      </w:r>
      <w:r>
        <w:rPr>
          <w:b w:val="0"/>
          <w:i/>
          <w:sz w:val="20"/>
        </w:rPr>
        <w:t>N. asteroides</w:t>
      </w:r>
      <w:r>
        <w:rPr>
          <w:b w:val="0"/>
          <w:i w:val="0"/>
          <w:sz w:val="20"/>
        </w:rPr>
        <w:t xml:space="preserve"> complex, and </w:t>
      </w:r>
      <w:r>
        <w:rPr>
          <w:b w:val="0"/>
          <w:i/>
          <w:sz w:val="20"/>
        </w:rPr>
        <w:t>N. brasiliensis</w:t>
      </w:r>
      <w:r>
        <w:rPr>
          <w:b w:val="0"/>
          <w:i w:val="0"/>
          <w:sz w:val="20"/>
        </w:rPr>
        <w:t xml:space="preserve"> is the classic cause of cutaneous disease and mycetoma. </w:t>
      </w:r>
      <w:r>
        <w:rPr>
          <w:b w:val="0"/>
          <w:i/>
          <w:sz w:val="20"/>
        </w:rPr>
        <w:t>Keyed</w:t>
      </w:r>
      <w:r>
        <w:rPr>
          <w:b w:val="0"/>
          <w:i w:val="0"/>
          <w:sz w:val="20"/>
        </w:rPr>
        <w:t xml:space="preserve"> at genus level. The slide’s “often treated with cephalosporins” is incomplete (trimethoprim-sulfamethoxazole is the usual first-line drug); antibiotic choice is not examined.</w:t>
      </w:r>
    </w:p>
    <w:p>
      <w:pPr>
        <w:pStyle w:val="ListBullet"/>
        <w:spacing w:after="40"/>
      </w:pPr>
      <w:r>
        <w:rPr>
          <w:b/>
          <w:i w:val="0"/>
          <w:sz w:val="20"/>
        </w:rPr>
        <w:t>Anthrax vaccine (slide 16).</w:t>
      </w:r>
      <w:r>
        <w:rPr>
          <w:b w:val="0"/>
          <w:i w:val="0"/>
          <w:sz w:val="20"/>
        </w:rPr>
        <w:t xml:space="preserve"> “Biothrax — only vaccine approved by FDA [Food and Drug Administration]” and “6 inoculations over 1.5 years” are out of date: the current Biothrax schedule is five intramuscular doses with annual boosters, and a second, adjuvanted anthrax vaccine was licensed in 2023 for use after exposure. Not keyed.</w:t>
      </w:r>
    </w:p>
    <w:p>
      <w:pPr>
        <w:pStyle w:val="ListBullet"/>
        <w:spacing w:after="40"/>
      </w:pPr>
      <w:r>
        <w:rPr>
          <w:b/>
          <w:i w:val="0"/>
          <w:sz w:val="20"/>
        </w:rPr>
        <w:t>Infant botulism treatment (slide 40).</w:t>
      </w:r>
      <w:r>
        <w:rPr>
          <w:b w:val="0"/>
          <w:i w:val="0"/>
          <w:sz w:val="20"/>
        </w:rPr>
        <w:t xml:space="preserve"> “Infectious botulism treated with penicillin” applies to wound botulism (after antitoxin and debridement); antibiotics are not recommended for infant botulism, which is treated with botulism immune globulin. Not keyed.</w:t>
      </w:r>
    </w:p>
    <w:p>
      <w:pPr>
        <w:pStyle w:val="ListBullet"/>
        <w:spacing w:after="40"/>
      </w:pPr>
      <w:r>
        <w:rPr>
          <w:b/>
          <w:i/>
          <w:sz w:val="20"/>
        </w:rPr>
        <w:t>C. difficile</w:t>
      </w:r>
      <w:r>
        <w:rPr>
          <w:b/>
          <w:i w:val="0"/>
          <w:sz w:val="20"/>
        </w:rPr>
        <w:t xml:space="preserve"> treatment (slide 48).</w:t>
      </w:r>
      <w:r>
        <w:rPr>
          <w:b w:val="0"/>
          <w:i w:val="0"/>
          <w:sz w:val="20"/>
        </w:rPr>
        <w:t xml:space="preserve"> For severe disease, current guidelines prefer oral fidaxomicin or oral vancomycin; metronidazole is no longer recommended. And where the slide says mild cases respond to fluids and withdrawal of the antimicrobial, current guidelines also treat mild cases with an oral antibiotic. </w:t>
      </w:r>
      <w:r>
        <w:rPr>
          <w:b w:val="0"/>
          <w:i/>
          <w:sz w:val="20"/>
        </w:rPr>
        <w:t>Keyed</w:t>
      </w:r>
      <w:r>
        <w:rPr>
          <w:b w:val="0"/>
          <w:i w:val="0"/>
          <w:sz w:val="20"/>
        </w:rPr>
        <w:t xml:space="preserve"> only as “withdrawing the antimicrobial is part of managing even a mild case”.</w:t>
      </w:r>
    </w:p>
    <w:p>
      <w:pPr>
        <w:pStyle w:val="ListBullet"/>
        <w:spacing w:after="40"/>
      </w:pPr>
      <w:r>
        <w:rPr>
          <w:b/>
          <w:i w:val="0"/>
          <w:sz w:val="20"/>
        </w:rPr>
        <w:t>Tuberculosis regimens (slide 79).</w:t>
      </w:r>
      <w:r>
        <w:rPr>
          <w:b w:val="0"/>
          <w:i w:val="0"/>
          <w:sz w:val="20"/>
        </w:rPr>
        <w:t xml:space="preserve"> Drug-susceptible tuberculosis is standardly six months (four drugs for two months, then two for four), and the preferred latent regimens are now shorter rifamycin-based courses, with nine months of isoniazid an alternative. Only “two or more drugs for months” is keyed.</w:t>
      </w:r>
    </w:p>
    <w:p>
      <w:pPr>
        <w:pStyle w:val="ListBullet"/>
        <w:spacing w:after="40"/>
      </w:pPr>
      <w:r>
        <w:rPr>
          <w:b/>
          <w:i w:val="0"/>
          <w:sz w:val="20"/>
        </w:rPr>
        <w:t>Leprosy (slide 89).</w:t>
      </w:r>
      <w:r>
        <w:rPr>
          <w:b w:val="0"/>
          <w:i w:val="0"/>
          <w:sz w:val="20"/>
        </w:rPr>
        <w:t xml:space="preserve"> The two-drug tuberculoid and three-drug lepromatous regimens match older United States practice; the current United States program uses about 12 months and about 2 years, and the World Health Organization now gives all three drugs for both forms (6 and 12 months). Only “lepromatous is treated far longer” is keyed. The 2017 subunit vaccine step was clearance to begin clinical trials, not licensure.</w:t>
      </w:r>
    </w:p>
    <w:p>
      <w:pPr>
        <w:pStyle w:val="ListBullet"/>
        <w:spacing w:after="40"/>
      </w:pPr>
      <w:r>
        <w:rPr>
          <w:b/>
          <w:i w:val="0"/>
          <w:sz w:val="20"/>
        </w:rPr>
        <w:t>Honey.</w:t>
      </w:r>
      <w:r>
        <w:rPr>
          <w:b w:val="0"/>
          <w:i w:val="0"/>
          <w:sz w:val="20"/>
        </w:rPr>
        <w:t xml:space="preserve"> The recording advised no honey “to any child under about four, just to make sure”; the standard rule is no honey before 12 months. Not keyed.</w:t>
      </w:r>
    </w:p>
    <w:p>
      <w:pPr>
        <w:pStyle w:val="ListBullet"/>
        <w:spacing w:after="40"/>
      </w:pPr>
      <w:r>
        <w:rPr>
          <w:b/>
          <w:i/>
          <w:sz w:val="20"/>
        </w:rPr>
        <w:t>Listeria</w:t>
      </w:r>
      <w:r>
        <w:rPr>
          <w:b/>
          <w:i w:val="0"/>
          <w:sz w:val="20"/>
        </w:rPr>
        <w:t xml:space="preserve"> and heat (slide 53).</w:t>
      </w:r>
      <w:r>
        <w:rPr>
          <w:b w:val="0"/>
          <w:i w:val="0"/>
          <w:sz w:val="20"/>
        </w:rPr>
        <w:t xml:space="preserve"> “Resistant to heat” means it tolerates warmth better than most; pasteurization and cooking still kill it (slide 56). Not keyed.</w:t>
      </w:r>
    </w:p>
    <w:p>
      <w:pPr>
        <w:pStyle w:val="ListBullet"/>
        <w:spacing w:after="40"/>
      </w:pPr>
      <w:r>
        <w:rPr>
          <w:b/>
          <w:i w:val="0"/>
          <w:sz w:val="20"/>
        </w:rPr>
        <w:t>Motility (slide 7).</w:t>
      </w:r>
      <w:r>
        <w:rPr>
          <w:b w:val="0"/>
          <w:i w:val="0"/>
          <w:sz w:val="20"/>
        </w:rPr>
        <w:t xml:space="preserve"> The genus </w:t>
      </w:r>
      <w:r>
        <w:rPr>
          <w:b w:val="0"/>
          <w:i/>
          <w:sz w:val="20"/>
        </w:rPr>
        <w:t>Bacillus</w:t>
      </w:r>
      <w:r>
        <w:rPr>
          <w:b w:val="0"/>
          <w:i w:val="0"/>
          <w:sz w:val="20"/>
        </w:rPr>
        <w:t xml:space="preserve"> is described as motile; </w:t>
      </w:r>
      <w:r>
        <w:rPr>
          <w:b w:val="0"/>
          <w:i/>
          <w:sz w:val="20"/>
        </w:rPr>
        <w:t>B. anthracis</w:t>
      </w:r>
      <w:r>
        <w:rPr>
          <w:b w:val="0"/>
          <w:i w:val="0"/>
          <w:sz w:val="20"/>
        </w:rPr>
        <w:t xml:space="preserve"> itself is nonmotile. Not keyed.</w:t>
      </w:r>
    </w:p>
    <w:p>
      <w:pPr>
        <w:pStyle w:val="ListBullet"/>
        <w:spacing w:after="40"/>
      </w:pPr>
      <w:r>
        <w:rPr>
          <w:b/>
          <w:i w:val="0"/>
          <w:sz w:val="20"/>
        </w:rPr>
        <w:t>Myonecrosis mortality (slide 24).</w:t>
      </w:r>
      <w:r>
        <w:rPr>
          <w:b w:val="0"/>
          <w:i w:val="0"/>
          <w:sz w:val="20"/>
        </w:rPr>
        <w:t xml:space="preserve"> The recording said “if you don’t treat it, 20 to 30 percent”, a slip for “treated”; percentages are not examined.</w:t>
      </w:r>
    </w:p>
    <w:p>
      <w:pPr>
        <w:spacing w:after="120"/>
      </w:pPr>
      <w:r>
        <w:rPr>
          <w:b w:val="0"/>
          <w:i w:val="0"/>
        </w:rPr>
        <w:t xml:space="preserve">Source: </w:t>
      </w:r>
      <w:r>
        <w:rPr>
          <w:b w:val="0"/>
          <w:i/>
        </w:rPr>
        <w:t>Gram Positive Bacilli of Medical Importance</w:t>
      </w:r>
      <w:r>
        <w:rPr>
          <w:b w:val="0"/>
          <w:i w:val="0"/>
        </w:rPr>
        <w:t xml:space="preserve"> (Lecture 9 Dr. Webster Gram positive Bacilli.pptx), Slides 1–94, the 2 October 2026 recording, and the PAJ 5200 syllabus instructional objectives.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