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or more — so the first contact causes no quick rash (at most a delayed one) and later contacts react much faster. The recording explains the missing first rash by the skin having shed; that explanation is not established.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i w:val="0"/>
        </w:rPr>
        <w:t>Cancer and immune dysfunction.</w:t>
      </w:r>
      <w:r>
        <w:rPr>
          <w:b w:val="0"/>
          <w:i w:val="0"/>
        </w:rPr>
        <w:t xml:space="preserve"> Cancer is both a cause and an effect: immune failure permits it, and the tumor then suppresses immunity. Immune surveillance normally keeps cancer in check, and successful tumors evade and actively manipulate the response once established.</w:t>
      </w: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i w:val="0"/>
        </w:rPr>
        <w:t>Four immunopathologies.</w:t>
      </w:r>
      <w:r>
        <w:rPr>
          <w:b w:val="0"/>
          <w:i w:val="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people with chronic worm infections tend to have less allergic disease, for two proposed reasons: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removed (Western Europe, North America) by better sanitation and treatment, the idea is that this arm of the immune system is underused and less successfully regulated, so it may overreact to harmless things.</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Arthus reaction.</w:t>
      </w:r>
      <w:r>
        <w:rPr>
          <w:b w:val="0"/>
          <w:i w:val="0"/>
        </w:rPr>
        <w:t xml:space="preserve"> It is localized dermal injury from inflamed blood vessels, a vasculitis typically following a second injection of vaccine at a site, and normally self limiting.</w:t>
      </w: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to the suspected allergen (the slide lists increased basophils, but a raised basophil count is not a reliable allergy marker)</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i w:val="0"/>
        </w:rPr>
        <w:t>Familial allergy.</w:t>
      </w:r>
      <w:r>
        <w:rPr>
          <w:b w:val="0"/>
          <w:i w:val="0"/>
        </w:rPr>
        <w:t xml:space="preserve"> Families inherit a generalized predisposition, the tendency rather than the particular allergen, which is why relatives may react to entirely different things. The specific allergy is not inherited.</w:t>
      </w: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the action of leukotrienes (the freshly made products behind the late phase reaction); the slide says it blocks their synthesis, but montelukast is a receptor blocker</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p>
      <w:pPr>
        <w:spacing w:after="120"/>
      </w:pPr>
      <w:r>
        <w:rPr>
          <w:b/>
          <w:i w:val="0"/>
        </w:rPr>
        <w:t>Autoimmune predisposition.</w:t>
      </w:r>
      <w:r>
        <w:rPr>
          <w:b w:val="0"/>
          <w:i w:val="0"/>
        </w:rPr>
        <w:t xml:space="preserve"> Women are affected more than men, and autoimmunities also run in families.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spacing w:after="120"/>
      </w:pPr>
      <w:r>
        <w:rPr>
          <w:b/>
          <w:i w:val="0"/>
        </w:rPr>
        <w:t>Adenosine deaminase deficiency.</w:t>
      </w:r>
      <w:r>
        <w:rPr>
          <w:b w:val="0"/>
          <w:i w:val="0"/>
        </w:rPr>
        <w:t xml:space="preserve"> It causes some types of severe combined immunodeficiency, a congenital, primary defect.</w:t>
      </w: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In many cancers, the more regulatory T cells in a tumor, the worse the prognosis.</w:t>
      </w:r>
    </w:p>
    <w:p>
      <w:pPr>
        <w:spacing w:after="120"/>
      </w:pPr>
      <w:r>
        <w:rPr>
          <w:b/>
          <w:i w:val="0"/>
        </w:rPr>
        <w:t>Tumor escape from natural killer cells.</w:t>
      </w:r>
      <w:r>
        <w:rPr>
          <w:b w:val="0"/>
          <w:i w:val="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approved for advanced melanoma (lifileucel, 2024) and still being studied in other solid tumors (the slide says in development, not yet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i w:val="0"/>
        </w:rPr>
        <w:t>Tumor infiltrating lymphocyte therapy.</w:t>
      </w:r>
      <w:r>
        <w:rPr>
          <w:b w:val="0"/>
          <w:i w:val="0"/>
        </w:rPr>
        <w:t xml:space="preserve"> It is approved for advanced melanoma (lifileucel, 2024) and still being studied in other solid tumors; these are cytotoxic T cells expanded to a therapeutic amount.</w:t>
      </w:r>
    </w:p>
    <w:p>
      <w:pPr>
        <w:spacing w:after="120"/>
      </w:pPr>
      <w:r>
        <w:rPr>
          <w:b/>
          <w:i w:val="0"/>
        </w:rPr>
        <w:t>Oncolytic viral therapy.</w:t>
      </w:r>
      <w:r>
        <w:rPr>
          <w:b w:val="0"/>
          <w:i w:val="0"/>
        </w:rPr>
        <w:t xml:space="preserve"> The main challenge is that immunity may clear the virus first; only a few are approved, just one in the United States, for melanoma.</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faster than hunting for the microbe itself (the slide also says more accurate, but a negative rapid test can still miss infection):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i w:val="0"/>
        </w:rPr>
        <w:t>Rapid immunological tests.</w:t>
      </w:r>
      <w:r>
        <w:rPr>
          <w:b w:val="0"/>
          <w:i w:val="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i w:val="0"/>
        </w:rPr>
        <w:t>Genotypic methods.</w:t>
      </w:r>
      <w:r>
        <w:rPr>
          <w:b w:val="0"/>
          <w:i w:val="0"/>
        </w:rPr>
        <w:t xml:space="preserve"> Their major practical advantage is that culture is not necessary. This matters most for slow-growing organisms such as Mycobacterium and difficult ones such as Legionella, since the delay of culture is avoided entirely.</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for their antigens, so these methods can tell close relatives apart, and they are also very sensitive, able to detect small amounts.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i w:val="0"/>
        </w:rPr>
        <w:t>Serological test reactions.</w:t>
      </w:r>
      <w:r>
        <w:rPr>
          <w:b w:val="0"/>
          <w:i w:val="0"/>
        </w:rPr>
        <w:t xml:space="preserve"> They can produce precipitates, color change, radioactivity, and report not only presence but amount, the titre, often given in binding antibody units.</w:t>
      </w:r>
    </w:p>
    <w:p>
      <w:pPr>
        <w:spacing w:after="120"/>
      </w:pPr>
      <w:r>
        <w:rPr>
          <w:b/>
          <w:i w:val="0"/>
        </w:rPr>
        <w:t>Serology.</w:t>
      </w:r>
      <w:r>
        <w:rPr>
          <w:b w:val="0"/>
          <w:i w:val="0"/>
        </w:rPr>
        <w:t xml:space="preserve"> Serology is in vitro diagnostic testing of serum samples. Because antibodies have extreme specificity for antigens, these methods can tell close relatives apart, and they are also very sensitive, able to detect small amounts.</w:t>
      </w:r>
    </w:p>
    <w:p>
      <w:pPr>
        <w:spacing w:after="120"/>
      </w:pPr>
      <w:r>
        <w:rPr>
          <w:b/>
          <w:i w:val="0"/>
        </w:rPr>
        <w:t>Agglutination testing.</w:t>
      </w:r>
      <w:r>
        <w:rPr>
          <w:b w:val="0"/>
          <w:i w:val="0"/>
        </w:rPr>
        <w:t xml:space="preserve"> It detects whole-cell or insoluble antigens, which antibody cross-links into complexes that settle out as large visible clumps, generally sinking to the bottom of the container.</w:t>
      </w:r>
    </w:p>
    <w:p>
      <w:pPr>
        <w:spacing w:after="120"/>
      </w:pPr>
      <w:r>
        <w:rPr>
          <w:b/>
          <w:i w:val="0"/>
        </w:rPr>
        <w:t>Agglutination clumps.</w:t>
      </w:r>
      <w:r>
        <w:rPr>
          <w:b w:val="0"/>
          <w:i w:val="0"/>
        </w:rPr>
        <w:t xml:space="preserve"> They settle to the bottom of the container, which makes the result visible without instrumentation and lets the test run on a card or slide.</w:t>
      </w:r>
    </w:p>
    <w:p>
      <w:pPr>
        <w:spacing w:after="120"/>
      </w:pPr>
      <w:r>
        <w:rPr>
          <w:b/>
          <w:i w:val="0"/>
        </w:rPr>
        <w:t>Agglutination tests.</w:t>
      </w:r>
      <w:r>
        <w:rPr>
          <w:b w:val="0"/>
          <w:i w:val="0"/>
        </w:rPr>
        <w:t xml:space="preserve"> The Weil-Felix test for rickettsial diseases uses agglutination, alongside blood typing, rapid syphilis diagnosis, cold agglutinin for mycoplasmas and the latex-agglutination pregnancy test.</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Long used as the </w:t>
            </w:r>
            <w:r>
              <w:rPr>
                <w:b/>
                <w:i w:val="0"/>
                <w:sz w:val="18"/>
              </w:rPr>
              <w:t>second test to confirm human immunodeficiency virus status</w:t>
            </w:r>
            <w:r>
              <w:rPr>
                <w:b w:val="0"/>
                <w:i w:val="0"/>
                <w:sz w:val="18"/>
              </w:rPr>
              <w:t>, though current United States guidance has replaced it with a second immunoassay and nucleic acid testing; also used in testing for bovine spongiform encephalopathy and Lyme disease</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spacing w:after="120"/>
      </w:pPr>
      <w:r>
        <w:rPr>
          <w:b/>
          <w:i w:val="0"/>
        </w:rPr>
        <w:t>Original electrophoretic blotting.</w:t>
      </w:r>
      <w:r>
        <w:rPr>
          <w:b w:val="0"/>
          <w:i w:val="0"/>
        </w:rPr>
        <w:t xml:space="preserve"> It was invented by Edwin Southern, around 1975, to detect specific DNA sequences in DNA samples; the Northern, Western and Eastern blots all take their names from his.</w:t>
      </w:r>
    </w:p>
    <w:p>
      <w:pPr>
        <w:spacing w:after="120"/>
      </w:pPr>
      <w:r>
        <w:rPr>
          <w:b/>
          <w:i w:val="0"/>
        </w:rPr>
        <w:t>Northern blot.</w:t>
      </w:r>
      <w:r>
        <w:rPr>
          <w:b w:val="0"/>
          <w:i w:val="0"/>
        </w:rPr>
        <w:t xml:space="preserve"> It is used to study gene expression by detecting RNA, and is useful in the study of oncogenes and in rejection of transplanted organs.</w:t>
      </w:r>
    </w:p>
    <w:p>
      <w:pPr>
        <w:spacing w:after="120"/>
      </w:pPr>
      <w:r>
        <w:rPr>
          <w:b/>
          <w:i w:val="0"/>
        </w:rPr>
        <w:t>Western blot.</w:t>
      </w:r>
      <w:r>
        <w:rPr>
          <w:b w:val="0"/>
          <w:i w:val="0"/>
        </w:rPr>
        <w:t xml:space="preserve"> It was long used as the second test to confirm human immunodeficiency virus (HIV) status, though current United States guidance has replaced it with a second immunoassay and nucleic acid testing; it is also used in testing for bovine spongiform encephalopathy and Lyme disease.</w:t>
      </w: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spacing w:after="120"/>
      </w:pPr>
      <w:r>
        <w:rPr>
          <w:b/>
          <w:i w:val="0"/>
        </w:rPr>
        <w:t>In vivo testing.</w:t>
      </w:r>
      <w:r>
        <w:rPr>
          <w:b w:val="0"/>
          <w:i w:val="0"/>
        </w:rPr>
        <w:t xml:space="preserve"> Unlike serology, antigen is introduced directly into the body to determine the presence or absence of antibodies; the tuberculin skin test and allergy testing are the named examples.</w:t>
      </w: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p>
      <w:pPr>
        <w:spacing w:after="120"/>
      </w:pPr>
      <w:r>
        <w:rPr>
          <w:b/>
          <w:i w:val="0"/>
        </w:rPr>
        <w:t>Immediate direct examination.</w:t>
      </w:r>
      <w:r>
        <w:rPr>
          <w:b w:val="0"/>
          <w:i w:val="0"/>
        </w:rPr>
        <w:t xml:space="preserve"> The Gram stain and acid-fast stain are named for it, together with direct fluorescent antibody and direct antigen testing, which report before anything has been cultured.</w:t>
      </w:r>
    </w:p>
    <w:p>
      <w:pPr>
        <w:spacing w:after="120"/>
      </w:pPr>
      <w:r>
        <w:rPr>
          <w:b/>
          <w:i w:val="0"/>
        </w:rPr>
        <w:t>Macroscopic morphology.</w:t>
      </w:r>
      <w:r>
        <w:rPr>
          <w:b w:val="0"/>
          <w:i w:val="0"/>
        </w:rPr>
        <w:t xml:space="preserve"> It assesses colony appearance on culture media, including texture, size, shape, pigment and growth requirements, all observed with the naked eye rather than under the microscope.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i w:val="0"/>
        </w:rPr>
        <w:t>Simmons citrate medium.</w:t>
      </w:r>
      <w:r>
        <w:rPr>
          <w:b w:val="0"/>
          <w:i w:val="0"/>
        </w:rPr>
        <w:t xml:space="preserve"> A blue color indicates a rising pH, reported by the bromthymol blue indicator, because citrate utilization drives the pH up.</w:t>
      </w:r>
    </w:p>
    <w:p>
      <w:pPr>
        <w:spacing w:after="120"/>
      </w:pPr>
      <w:r>
        <w:rPr>
          <w:b w:val="0"/>
          <w:i w:val="0"/>
        </w:rPr>
        <w:t>Replication, the last part of this objective, appears once: viruses cannot be cultured like bacteria because they replicate only inside a specific host cell (slide 54).</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i w:val="0"/>
        </w:rPr>
        <w:t>Phenotypic methods.</w:t>
      </w:r>
      <w:r>
        <w:rPr>
          <w:b w:val="0"/>
          <w:i w:val="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shows </w:t>
      </w:r>
      <w:r>
        <w:rPr>
          <w:b/>
          <w:i w:val="0"/>
        </w:rPr>
        <w:t>which drugs the microbe is susceptible or resistant to</w:t>
      </w:r>
      <w:r>
        <w:rPr>
          <w:b w:val="0"/>
          <w:i w:val="0"/>
        </w:rPr>
        <w:t xml:space="preserve"> (the slide also says it gives the dose and usable combinations, but the dose comes from pharmacology and, for a dilution test, the minimum inhibitory concentration). For a given drug, </w:t>
      </w:r>
      <w:r>
        <w:rPr>
          <w:b/>
          <w:i w:val="0"/>
        </w:rPr>
        <w:t>a larger zone of inhibition</w:t>
      </w:r>
      <w:r>
        <w:rPr>
          <w:b w:val="0"/>
          <w:i w:val="0"/>
        </w:rPr>
        <w:t xml:space="preserve"> means the microbe is more susceptible to it; zones of different drugs cannot be ranked against each other. </w:t>
      </w:r>
      <w:r>
        <w:rPr>
          <w:b/>
          <w:i w:val="0"/>
        </w:rPr>
        <w:t>Minimum inhibitory concentration (MIC)</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i w:val="0"/>
        </w:rPr>
        <w:t>Zone of inhibition.</w:t>
      </w:r>
      <w:r>
        <w:rPr>
          <w:b w:val="0"/>
          <w:i w:val="0"/>
        </w:rPr>
        <w:t xml:space="preserve"> For a given drug, a larger zone means the microbe is more susceptible to it (zones of different drugs cannot be ranked against each other);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Splits the upper layers of the epidermis apart</w:t>
            </w:r>
            <w:r>
              <w:rPr>
                <w:b w:val="0"/>
                <w:i w:val="0"/>
                <w:sz w:val="18"/>
              </w:rPr>
              <w:t xml:space="preserve"> (scalded skin syndrome); the slide says it separates the epidermis from the dermis</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older teaching (and the slide) describes </w:t>
      </w:r>
      <w:r>
        <w:rPr>
          <w:b/>
          <w:i w:val="0"/>
        </w:rPr>
        <w:t>some strains as resisting all major drug groups except vancomycin</w:t>
      </w:r>
      <w:r>
        <w:rPr>
          <w:b w:val="0"/>
          <w:i w:val="0"/>
        </w:rPr>
        <w:t xml:space="preserve">, but vancomycin and several newer drugs still work against most strains.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little immune response</w:t>
            </w:r>
            <w:r>
              <w:rPr>
                <w:b w:val="0"/>
                <w:i w:val="0"/>
                <w:sz w:val="18"/>
              </w:rPr>
              <w:t>, because it looks like the body’s own hyaluronic acid (the slide says none)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spacing w:after="120"/>
      </w:pPr>
      <w:r>
        <w:rPr>
          <w:b/>
          <w:i w:val="0"/>
        </w:rPr>
        <w:t>Endogenous pneumococcal infection.</w:t>
      </w:r>
      <w:r>
        <w:rPr>
          <w:b w:val="0"/>
          <w:i w:val="0"/>
        </w:rPr>
        <w:t xml:space="preserve"> 5 to 50% of people carry it in the nasopharynx, and infection usually comes from that carriage, from the person's own flora, especially if the host is immunocompromised.</w:t>
      </w: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and children nearby, and medical personnel only after direct exposure to the patient’s secretions);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respiratory failure</w:t>
            </w:r>
            <w:r>
              <w:rPr>
                <w:b w:val="0"/>
                <w:i w:val="0"/>
                <w:sz w:val="18"/>
              </w:rPr>
              <w:t>, as spasm of the breathing muscles and larynx stops effective breathing (the slide calls the toxin’s effect paralysis; tetanus causes spasm, not flaccid paralysis)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i w:val="0"/>
        </w:rPr>
        <w:t>Diphtheria pseudomembrane.</w:t>
      </w:r>
      <w:r>
        <w:rPr>
          <w:b w:val="0"/>
          <w:i w:val="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The slide gives about </w:t>
            </w:r>
            <w:r>
              <w:rPr>
                <w:b/>
                <w:i w:val="0"/>
                <w:sz w:val="18"/>
              </w:rPr>
              <w:t>6 months for tuberculoid</w:t>
            </w:r>
            <w:r>
              <w:rPr>
                <w:b w:val="0"/>
                <w:i w:val="0"/>
                <w:sz w:val="18"/>
              </w:rPr>
              <w:t xml:space="preserve"> leprosy and </w:t>
            </w:r>
            <w:r>
              <w:rPr>
                <w:b/>
                <w:i w:val="0"/>
                <w:sz w:val="18"/>
              </w:rPr>
              <w:t>up to 2 years for lepromatous</w:t>
            </w:r>
            <w:r>
              <w:rPr>
                <w:b w:val="0"/>
                <w:i w:val="0"/>
                <w:sz w:val="18"/>
              </w:rPr>
              <w:t>, followed by extended single-drug treatment; that is older United States practice. The current United States program uses about 12 months for tuberculoid and about 2 years for lepromatous disease, and the World Health Organization gives all three drugs for both forms (6 and 12 months)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spacing w:after="120"/>
      </w:pPr>
      <w:r>
        <w:rPr>
          <w:b/>
          <w:i w:val="0"/>
        </w:rPr>
        <w:t>Lepromatous leprosy lesions.</w:t>
      </w:r>
      <w:r>
        <w:rPr>
          <w:b w:val="0"/>
          <w:i w:val="0"/>
        </w:rPr>
        <w:t xml:space="preserve"> Deep, disfiguring nodules of the face are lepromatous leprosy, the widely disseminated form.</w:t>
      </w:r>
    </w:p>
    <w:p>
      <w:pPr>
        <w:spacing w:after="120"/>
      </w:pPr>
      <w:r>
        <w:rPr>
          <w:b/>
          <w:i w:val="0"/>
        </w:rPr>
        <w:t>T helper response in leprosy.</w:t>
      </w:r>
      <w:r>
        <w:rPr>
          <w:b w:val="0"/>
          <w:i w:val="0"/>
        </w:rPr>
        <w:t xml:space="preserve"> A T helper 2 response tends to favor the lepromatous form, while T helper 1 favors the tuberculoid form.</w:t>
      </w: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older United States practice; the current United States program uses about 12 months and about 2 years, and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p>
      <w:pPr>
        <w:pStyle w:val="Heading1"/>
        <w:spacing w:before="280" w:after="100"/>
      </w:pPr>
      <w:r>
        <w:rPr>
          <w:rFonts w:ascii="Georgia" w:hAnsi="Georgia"/>
          <w:color w:val="1F4D2B"/>
        </w:rPr>
        <w:t>11 · Novel Antimicrobial Therapy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current antibiotic use related to novel antimicrobial therapy.</w:t>
            </w:r>
          </w:p>
          <w:p>
            <w:pPr>
              <w:pStyle w:val="ListNumber"/>
              <w:spacing w:after="40"/>
            </w:pPr>
            <w:r>
              <w:rPr>
                <w:b w:val="0"/>
                <w:i w:val="0"/>
                <w:sz w:val="20"/>
              </w:rPr>
              <w:t>Describe fecal microbiota transplant (FMT).</w:t>
            </w:r>
          </w:p>
          <w:p>
            <w:pPr>
              <w:pStyle w:val="ListNumber"/>
              <w:spacing w:after="40"/>
            </w:pPr>
            <w:r>
              <w:rPr>
                <w:b w:val="0"/>
                <w:i w:val="0"/>
                <w:sz w:val="20"/>
              </w:rPr>
              <w:t>Describe phage therapy.</w:t>
            </w:r>
          </w:p>
          <w:p>
            <w:pPr>
              <w:pStyle w:val="ListNumber"/>
              <w:spacing w:after="40"/>
            </w:pPr>
            <w:r>
              <w:rPr>
                <w:b w:val="0"/>
                <w:i w:val="0"/>
                <w:sz w:val="20"/>
              </w:rPr>
              <w:t>Describe other alternative therapies to antibiotic use.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question runs through the whole lecture:</w:t>
            </w:r>
            <w:r>
              <w:rPr>
                <w:b w:val="0"/>
                <w:i w:val="0"/>
              </w:rPr>
              <w:t xml:space="preserve"> </w:t>
            </w:r>
            <w:r>
              <w:rPr>
                <w:b w:val="0"/>
                <w:i/>
              </w:rPr>
              <w:t>are we nearing a post-antibiotic era?</w:t>
            </w:r>
            <w:r>
              <w:rPr>
                <w:b w:val="0"/>
                <w:i w:val="0"/>
              </w:rPr>
              <w:t xml:space="preserve"> The answer on the title slide is “yes, probably, but we do have options.” Objective 1 is the problem and how antibiotics are used today: resistance and what drives it, stewardship, susceptibility testing, antibiograms and empiric therapy, the special circumstances for prophylaxis, and the direct and indirect costs of every course. Objectives 2–4 are the options: </w:t>
            </w:r>
            <w:r>
              <w:rPr>
                <w:b/>
                <w:i w:val="0"/>
              </w:rPr>
              <w:t>fecal microbiota transplant</w:t>
            </w:r>
            <w:r>
              <w:rPr>
                <w:b w:val="0"/>
                <w:i w:val="0"/>
              </w:rPr>
              <w:t xml:space="preserve"> (restore the gut’s own flora), </w:t>
            </w:r>
            <w:r>
              <w:rPr>
                <w:b/>
                <w:i w:val="0"/>
              </w:rPr>
              <w:t>phage therapy</w:t>
            </w:r>
            <w:r>
              <w:rPr>
                <w:b w:val="0"/>
                <w:i w:val="0"/>
              </w:rPr>
              <w:t xml:space="preserve"> (use the viruses that kill bacteria) and the </w:t>
            </w:r>
            <w:r>
              <w:rPr>
                <w:b/>
                <w:i w:val="0"/>
              </w:rPr>
              <w:t>other alternatives</w:t>
            </w:r>
            <w:r>
              <w:rPr>
                <w:b w:val="0"/>
                <w:i w:val="0"/>
              </w:rPr>
              <w:t xml:space="preserve"> (corticosteroids, donor antibodies, prebiotics and probiotics, a varied plant diet, plant essential oils).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9 October 2026</w:t>
            </w:r>
          </w:p>
          <w:p>
            <w:pPr>
              <w:spacing w:after="120"/>
            </w:pPr>
            <w:r>
              <w:rPr>
                <w:b w:val="0"/>
                <w:i w:val="0"/>
              </w:rPr>
              <w:t xml:space="preserve">About 46 minutes with Dr. Fair, one recording that begins at slide 4 (the stewardship cycle), so the title, objectives and “what is driving the need” slides (1–3) have no audio. </w:t>
            </w:r>
            <w:r>
              <w:rPr>
                <w:b/>
                <w:i w:val="0"/>
              </w:rPr>
              <w:t>Both transcripts read and compared</w:t>
            </w:r>
            <w:r>
              <w:rPr>
                <w:b w:val="0"/>
                <w:i w:val="0"/>
              </w:rPr>
              <w:t xml:space="preserve"> (Notability’s own and an independent local transcription); every quote below appears in both unless marked. She signposts little, but two remarks cut the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val="0"/>
                      <w:sz w:val="18"/>
                    </w:rPr>
                    <w:t xml:space="preserve">On penicillin’s history: </w:t>
                  </w:r>
                  <w:r>
                    <w:rPr>
                      <w:b w:val="0"/>
                      <w:i/>
                      <w:sz w:val="18"/>
                    </w:rPr>
                    <w:t>“</w:t>
                  </w:r>
                  <w:r>
                    <w:rPr>
                      <w:b w:val="0"/>
                      <w:i/>
                      <w:sz w:val="18"/>
                      <w:highlight w:val="yellow"/>
                    </w:rPr>
                    <w:t>Don’t worry about dates</w:t>
                  </w:r>
                  <w:r>
                    <w:rPr>
                      <w:b w:val="0"/>
                      <w:i/>
                      <w:sz w:val="18"/>
                    </w:rPr>
                    <w:t>.”</w:t>
                  </w:r>
                  <w:r>
                    <w:rPr>
                      <w:b w:val="0"/>
                      <w:i w:val="0"/>
                      <w:sz w:val="18"/>
                    </w:rPr>
                    <w:t xml:space="preserve"> [24:04]</w:t>
                  </w:r>
                </w:p>
              </w:tc>
              <w:tc>
                <w:tcPr>
                  <w:tcW w:type="dxa" w:w="5112"/>
                </w:tcPr>
                <w:p>
                  <w:pPr>
                    <w:spacing w:after="40"/>
                  </w:pPr>
                  <w:r>
                    <w:rPr>
                      <w:sz w:val="18"/>
                    </w:rPr>
                  </w:r>
                  <w:r>
                    <w:rPr>
                      <w:b w:val="0"/>
                      <w:i w:val="0"/>
                      <w:sz w:val="18"/>
                    </w:rPr>
                    <w:t>No question asks for a year: not slide 8’s discovery, use and resistance dates, not the 1920s and 1930s of phage therapy, not the centuries of fecal therapy. Know the patterns instead.</w:t>
                  </w:r>
                </w:p>
              </w:tc>
            </w:tr>
            <w:tr>
              <w:tc>
                <w:tcPr>
                  <w:tcW w:type="dxa" w:w="5112"/>
                </w:tcPr>
                <w:p>
                  <w:pPr>
                    <w:spacing w:after="40"/>
                  </w:pPr>
                  <w:r>
                    <w:rPr>
                      <w:sz w:val="18"/>
                    </w:rPr>
                  </w:r>
                  <w:r>
                    <w:rPr>
                      <w:b w:val="0"/>
                      <w:i w:val="0"/>
                      <w:sz w:val="18"/>
                    </w:rPr>
                    <w:t xml:space="preserve">On how vancomycin works: </w:t>
                  </w:r>
                  <w:r>
                    <w:rPr>
                      <w:b w:val="0"/>
                      <w:i/>
                      <w:sz w:val="18"/>
                    </w:rPr>
                    <w:t>“</w:t>
                  </w:r>
                  <w:r>
                    <w:rPr>
                      <w:b w:val="0"/>
                      <w:i/>
                      <w:sz w:val="18"/>
                      <w:highlight w:val="yellow"/>
                    </w:rPr>
                    <w:t>don’t worry about this</w:t>
                  </w:r>
                  <w:r>
                    <w:rPr>
                      <w:b w:val="0"/>
                      <w:i/>
                      <w:sz w:val="18"/>
                    </w:rPr>
                    <w:t>, I geeked out at lunchtime.”</w:t>
                  </w:r>
                  <w:r>
                    <w:rPr>
                      <w:b w:val="0"/>
                      <w:i w:val="0"/>
                      <w:sz w:val="18"/>
                    </w:rPr>
                    <w:t xml:space="preserve"> [08:18]</w:t>
                  </w:r>
                </w:p>
              </w:tc>
              <w:tc>
                <w:tcPr>
                  <w:tcW w:type="dxa" w:w="5112"/>
                </w:tcPr>
                <w:p>
                  <w:pPr>
                    <w:spacing w:after="40"/>
                  </w:pPr>
                  <w:r>
                    <w:rPr>
                      <w:sz w:val="18"/>
                    </w:rPr>
                  </w:r>
                  <w:r>
                    <w:rPr>
                      <w:b w:val="0"/>
                      <w:i w:val="0"/>
                      <w:sz w:val="18"/>
                    </w:rPr>
                    <w:t>Vancomycin’s mechanism is not examined here. What she did say: it still works against Gram-positive infections but not Gram-negative ones, which it cannot get through the lipid-rich envelope of.</w:t>
                  </w:r>
                </w:p>
              </w:tc>
            </w:tr>
            <w:tr>
              <w:tc>
                <w:tcPr>
                  <w:tcW w:type="dxa" w:w="5112"/>
                </w:tcPr>
                <w:p>
                  <w:pPr>
                    <w:spacing w:after="40"/>
                  </w:pPr>
                  <w:r>
                    <w:rPr>
                      <w:sz w:val="18"/>
                    </w:rPr>
                  </w:r>
                  <w:r>
                    <w:rPr>
                      <w:b w:val="0"/>
                      <w:i/>
                      <w:sz w:val="18"/>
                    </w:rPr>
                    <w:t xml:space="preserve">“They’re very, very specific as to the bacterium that they’re going to attack, and then </w:t>
                  </w:r>
                  <w:r>
                    <w:rPr>
                      <w:b w:val="0"/>
                      <w:i/>
                      <w:sz w:val="18"/>
                      <w:highlight w:val="yellow"/>
                    </w:rPr>
                    <w:t>once there are no more of that particular strain of bacteria, they die off</w:t>
                  </w:r>
                  <w:r>
                    <w:rPr>
                      <w:b w:val="0"/>
                      <w:i/>
                      <w:sz w:val="18"/>
                    </w:rPr>
                    <w:t>.”</w:t>
                  </w:r>
                  <w:r>
                    <w:rPr>
                      <w:b w:val="0"/>
                      <w:i w:val="0"/>
                      <w:sz w:val="18"/>
                    </w:rPr>
                    <w:t xml:space="preserve"> [22:16]</w:t>
                  </w:r>
                </w:p>
              </w:tc>
              <w:tc>
                <w:tcPr>
                  <w:tcW w:type="dxa" w:w="5112"/>
                </w:tcPr>
                <w:p>
                  <w:pPr>
                    <w:spacing w:after="40"/>
                  </w:pPr>
                  <w:r>
                    <w:rPr>
                      <w:sz w:val="18"/>
                    </w:rPr>
                  </w:r>
                  <w:r>
                    <w:rPr>
                      <w:b w:val="0"/>
                      <w:i w:val="0"/>
                      <w:sz w:val="18"/>
                    </w:rPr>
                    <w:t>The two properties of phages to carry into any phage question: high host specificity, and dying off once the host is gone (11.5).</w:t>
                  </w:r>
                </w:p>
              </w:tc>
            </w:tr>
            <w:tr>
              <w:tc>
                <w:tcPr>
                  <w:tcW w:type="dxa" w:w="5112"/>
                </w:tcPr>
                <w:p>
                  <w:pPr>
                    <w:spacing w:after="40"/>
                  </w:pPr>
                  <w:r>
                    <w:rPr>
                      <w:sz w:val="18"/>
                    </w:rPr>
                  </w:r>
                  <w:r>
                    <w:rPr>
                      <w:b w:val="0"/>
                      <w:i/>
                      <w:sz w:val="18"/>
                    </w:rPr>
                    <w:t xml:space="preserve">“And </w:t>
                  </w:r>
                  <w:r>
                    <w:rPr>
                      <w:b w:val="0"/>
                      <w:i/>
                      <w:sz w:val="18"/>
                      <w:highlight w:val="yellow"/>
                    </w:rPr>
                    <w:t>remember that the diagnosis might be time consuming</w:t>
                  </w:r>
                  <w:r>
                    <w:rPr>
                      <w:b w:val="0"/>
                      <w:i/>
                      <w:sz w:val="18"/>
                    </w:rPr>
                    <w:t xml:space="preserve"> too, especially if the bacterium causing the infection is a slow grower, or it’s very, very fastidious.”</w:t>
                  </w:r>
                  <w:r>
                    <w:rPr>
                      <w:b w:val="0"/>
                      <w:i w:val="0"/>
                      <w:sz w:val="18"/>
                    </w:rPr>
                    <w:t xml:space="preserve"> [25:02]</w:t>
                  </w:r>
                </w:p>
              </w:tc>
              <w:tc>
                <w:tcPr>
                  <w:tcW w:type="dxa" w:w="5112"/>
                </w:tcPr>
                <w:p>
                  <w:pPr>
                    <w:spacing w:after="40"/>
                  </w:pPr>
                  <w:r>
                    <w:rPr>
                      <w:sz w:val="18"/>
                    </w:rPr>
                  </w:r>
                  <w:r>
                    <w:rPr>
                      <w:b w:val="0"/>
                      <w:i w:val="0"/>
                      <w:sz w:val="18"/>
                    </w:rPr>
                    <w:t xml:space="preserve">Phage therapy needs the causative organism identified first; for slow growers such as </w:t>
                  </w:r>
                  <w:r>
                    <w:rPr>
                      <w:b w:val="0"/>
                      <w:i/>
                      <w:sz w:val="18"/>
                    </w:rPr>
                    <w:t>Mycobacterium</w:t>
                  </w:r>
                  <w:r>
                    <w:rPr>
                      <w:b w:val="0"/>
                      <w:i w:val="0"/>
                      <w:sz w:val="18"/>
                    </w:rPr>
                    <w:t xml:space="preserve"> or </w:t>
                  </w:r>
                  <w:r>
                    <w:rPr>
                      <w:b w:val="0"/>
                      <w:i/>
                      <w:sz w:val="18"/>
                    </w:rPr>
                    <w:t>Legionella</w:t>
                  </w:r>
                  <w:r>
                    <w:rPr>
                      <w:b w:val="0"/>
                      <w:i w:val="0"/>
                      <w:sz w:val="18"/>
                    </w:rPr>
                    <w:t xml:space="preserve"> that may need immunological or deoxyribonucleic acid techniques (11.5).</w:t>
                  </w:r>
                </w:p>
              </w:tc>
            </w:tr>
            <w:tr>
              <w:tc>
                <w:tcPr>
                  <w:tcW w:type="dxa" w:w="5112"/>
                </w:tcPr>
                <w:p>
                  <w:pPr>
                    <w:spacing w:after="40"/>
                  </w:pPr>
                  <w:r>
                    <w:rPr>
                      <w:sz w:val="18"/>
                    </w:rPr>
                  </w:r>
                  <w:r>
                    <w:rPr>
                      <w:b w:val="0"/>
                      <w:i w:val="0"/>
                      <w:sz w:val="18"/>
                    </w:rPr>
                    <w:t xml:space="preserve">On fecal microbiota transplant: </w:t>
                  </w:r>
                  <w:r>
                    <w:rPr>
                      <w:b w:val="0"/>
                      <w:i/>
                      <w:sz w:val="18"/>
                    </w:rPr>
                    <w:t>“it does seem to have a great success rate.”</w:t>
                  </w:r>
                  <w:r>
                    <w:rPr>
                      <w:b w:val="0"/>
                      <w:i w:val="0"/>
                      <w:sz w:val="18"/>
                    </w:rPr>
                    <w:t xml:space="preserve"> [30:28] The study she teaches from (the one highlighted on slide 27) gave it to patients with </w:t>
                  </w:r>
                  <w:r>
                    <w:rPr>
                      <w:b/>
                      <w:i w:val="0"/>
                      <w:sz w:val="18"/>
                    </w:rPr>
                    <w:t xml:space="preserve">recurring </w:t>
                  </w:r>
                  <w:r>
                    <w:rPr>
                      <w:b/>
                      <w:i/>
                      <w:sz w:val="18"/>
                    </w:rPr>
                    <w:t>Clostridioides difficile</w:t>
                  </w:r>
                  <w:r>
                    <w:rPr>
                      <w:b w:val="0"/>
                      <w:i w:val="0"/>
                      <w:sz w:val="18"/>
                    </w:rPr>
                    <w:t>, 14 by nasogastric tube and 14 by colonoscopy. [33:42–34:14]</w:t>
                  </w:r>
                </w:p>
              </w:tc>
              <w:tc>
                <w:tcPr>
                  <w:tcW w:type="dxa" w:w="5112"/>
                </w:tcPr>
                <w:p>
                  <w:pPr>
                    <w:spacing w:after="40"/>
                  </w:pPr>
                  <w:r>
                    <w:rPr>
                      <w:sz w:val="18"/>
                    </w:rPr>
                  </w:r>
                  <w:r>
                    <w:rPr>
                      <w:b w:val="0"/>
                      <w:i w:val="0"/>
                      <w:sz w:val="18"/>
                    </w:rPr>
                    <w:t xml:space="preserve">Recurrent </w:t>
                  </w:r>
                  <w:r>
                    <w:rPr>
                      <w:b w:val="0"/>
                      <w:i/>
                      <w:sz w:val="18"/>
                    </w:rPr>
                    <w:t>Clostridioides difficile</w:t>
                  </w:r>
                  <w:r>
                    <w:rPr>
                      <w:b w:val="0"/>
                      <w:i w:val="0"/>
                      <w:sz w:val="18"/>
                    </w:rPr>
                    <w:t xml:space="preserve"> is the indication to know (11.4). The success figures she gave are context, not exam material.</w:t>
                  </w:r>
                </w:p>
              </w:tc>
            </w:tr>
          </w:tbl>
          <w:p/>
          <w:p>
            <w:pPr>
              <w:spacing w:after="80"/>
            </w:pPr>
          </w:p>
          <w:p>
            <w:pPr>
              <w:spacing w:after="120"/>
            </w:pPr>
            <w:r>
              <w:rPr>
                <w:b/>
                <w:i w:val="0"/>
              </w:rPr>
              <w:t>Things said that are not on a slide</w:t>
            </w:r>
            <w:r>
              <w:rPr>
                <w:b w:val="0"/>
                <w:i w:val="0"/>
              </w:rPr>
              <w:t xml:space="preserve"> — consistent with the deck, useful as hooks:</w:t>
            </w:r>
          </w:p>
          <w:p>
            <w:pPr>
              <w:pStyle w:val="ListBullet"/>
              <w:spacing w:after="40"/>
            </w:pPr>
            <w:r>
              <w:rPr>
                <w:b/>
                <w:i w:val="0"/>
                <w:sz w:val="20"/>
              </w:rPr>
              <w:t>Reading the disk-diffusion plates</w:t>
            </w:r>
            <w:r>
              <w:rPr>
                <w:b w:val="0"/>
                <w:i w:val="0"/>
                <w:sz w:val="20"/>
              </w:rPr>
              <w:t xml:space="preserve"> (slide 9): penicillin does nothing to the </w:t>
            </w:r>
            <w:r>
              <w:rPr>
                <w:b w:val="0"/>
                <w:i/>
                <w:sz w:val="20"/>
              </w:rPr>
              <w:t>Escherichia coli</w:t>
            </w:r>
            <w:r>
              <w:rPr>
                <w:b w:val="0"/>
                <w:i w:val="0"/>
                <w:sz w:val="20"/>
              </w:rPr>
              <w:t xml:space="preserve"> on the left, a Gram-negative, but works on that </w:t>
            </w:r>
            <w:r>
              <w:rPr>
                <w:b w:val="0"/>
                <w:i/>
                <w:sz w:val="20"/>
              </w:rPr>
              <w:t>Staphylococcus aureus</w:t>
            </w:r>
            <w:r>
              <w:rPr>
                <w:b w:val="0"/>
                <w:i w:val="0"/>
                <w:sz w:val="20"/>
              </w:rPr>
              <w:t xml:space="preserve"> strain on the right. Leave a plate in the incubator a few days longer and colonies appear inside the clear zones: bacteria </w:t>
            </w:r>
            <w:r>
              <w:rPr>
                <w:b/>
                <w:i w:val="0"/>
                <w:sz w:val="20"/>
              </w:rPr>
              <w:t>evolving resistance on the plate</w:t>
            </w:r>
            <w:r>
              <w:rPr>
                <w:b w:val="0"/>
                <w:i w:val="0"/>
                <w:sz w:val="20"/>
              </w:rPr>
              <w:t xml:space="preserve"> at a sub-lethal concentration of the drug. [06:15–07:14]</w:t>
            </w:r>
          </w:p>
          <w:p>
            <w:pPr>
              <w:pStyle w:val="ListBullet"/>
              <w:spacing w:after="40"/>
            </w:pPr>
            <w:r>
              <w:rPr>
                <w:b/>
                <w:i w:val="0"/>
                <w:sz w:val="20"/>
              </w:rPr>
              <w:t>Penicillin was found by accident</w:t>
            </w:r>
            <w:r>
              <w:rPr>
                <w:b w:val="0"/>
                <w:i w:val="0"/>
                <w:sz w:val="20"/>
              </w:rPr>
              <w:t>: a fungus landed on a plate of staphylococci and its product killed them, and even its discoverer warned in his Nobel lecture that antibiotics are not a magic bullet. [03:56–04:48]</w:t>
            </w:r>
          </w:p>
          <w:p>
            <w:pPr>
              <w:pStyle w:val="ListBullet"/>
              <w:spacing w:after="40"/>
            </w:pPr>
            <w:r>
              <w:rPr>
                <w:b/>
                <w:i w:val="0"/>
                <w:sz w:val="20"/>
              </w:rPr>
              <w:t>Animal bites</w:t>
            </w:r>
            <w:r>
              <w:rPr>
                <w:b w:val="0"/>
                <w:i w:val="0"/>
                <w:sz w:val="20"/>
              </w:rPr>
              <w:t xml:space="preserve">: </w:t>
            </w:r>
            <w:r>
              <w:rPr>
                <w:b w:val="0"/>
                <w:i/>
                <w:sz w:val="20"/>
              </w:rPr>
              <w:t>Capnocytophaga</w:t>
            </w:r>
            <w:r>
              <w:rPr>
                <w:b w:val="0"/>
                <w:i w:val="0"/>
                <w:sz w:val="20"/>
              </w:rPr>
              <w:t>, “the dog bite bacterium”, is her example of why a deep bite gets prophylaxis. [12:54]</w:t>
            </w:r>
          </w:p>
          <w:p>
            <w:pPr>
              <w:pStyle w:val="ListBullet"/>
              <w:spacing w:after="40"/>
            </w:pPr>
            <w:r>
              <w:rPr>
                <w:b/>
                <w:i w:val="0"/>
                <w:sz w:val="20"/>
              </w:rPr>
              <w:t>Phages</w:t>
            </w:r>
            <w:r>
              <w:rPr>
                <w:b w:val="0"/>
                <w:i w:val="0"/>
                <w:sz w:val="20"/>
              </w:rPr>
              <w:t xml:space="preserve"> were discovered around 1915–1917 by two scientists working independently, who saw something clearing zones in their bacterial colonies; “phage” means to eat. [20:34–21:05]</w:t>
            </w:r>
          </w:p>
          <w:p>
            <w:pPr>
              <w:pStyle w:val="ListBullet"/>
              <w:spacing w:after="40"/>
            </w:pPr>
            <w:r>
              <w:rPr>
                <w:b/>
                <w:i w:val="0"/>
                <w:sz w:val="20"/>
              </w:rPr>
              <w:t>A fourth route for fecal transplant</w:t>
            </w:r>
            <w:r>
              <w:rPr>
                <w:b w:val="0"/>
                <w:i w:val="0"/>
                <w:sz w:val="20"/>
              </w:rPr>
              <w:t>: frozen oral capsules, besides nasogastric tube and colonoscopy. [32:19–32:43] (Oral capsule products exist; slide 26 lists tube, colonoscopy and enema.)</w:t>
            </w:r>
          </w:p>
          <w:p>
            <w:pPr>
              <w:pStyle w:val="ListBullet"/>
              <w:spacing w:after="40"/>
            </w:pPr>
            <w:r>
              <w:rPr>
                <w:b/>
                <w:i w:val="0"/>
                <w:sz w:val="20"/>
              </w:rPr>
              <w:t>Medical tourism</w:t>
            </w:r>
            <w:r>
              <w:rPr>
                <w:b w:val="0"/>
                <w:i w:val="0"/>
                <w:sz w:val="20"/>
              </w:rPr>
              <w:t xml:space="preserve"> is one way patients reach phage therapy that is not approved where they live; in the United States the usual routes are investigational drug status and clinical studies. [26:07–27:20]</w:t>
            </w:r>
          </w:p>
          <w:p>
            <w:pPr>
              <w:pStyle w:val="ListBullet"/>
              <w:spacing w:after="40"/>
            </w:pPr>
            <w:r>
              <w:rPr>
                <w:b/>
                <w:i w:val="0"/>
                <w:sz w:val="20"/>
              </w:rPr>
              <w:t>Parasitic worms</w:t>
            </w:r>
            <w:r>
              <w:rPr>
                <w:b w:val="0"/>
                <w:i w:val="0"/>
                <w:sz w:val="20"/>
              </w:rPr>
              <w:t xml:space="preserve"> (slide 28, about six minutes): in populations with heavy intestinal worm burdens, studies found fewer allergies, less diabetes and fewer other chronic inflammatory conditions, and one recent study also found more gut inflammation-linked cancers; whether the worms or their products are responsible is unknown. It is the hygiene hypothesis of Lecture 7. [34:45–40:06] Not quizzed: the slide’s text states only the plant-diversity finding.</w:t>
            </w:r>
          </w:p>
          <w:p>
            <w:pPr>
              <w:pStyle w:val="ListBullet"/>
              <w:spacing w:after="40"/>
            </w:pPr>
            <w:r>
              <w:rPr>
                <w:b/>
                <w:i w:val="0"/>
                <w:sz w:val="20"/>
              </w:rPr>
              <w:t>Plant essential oils</w:t>
            </w:r>
            <w:r>
              <w:rPr>
                <w:b w:val="0"/>
                <w:i w:val="0"/>
                <w:sz w:val="20"/>
              </w:rPr>
              <w:t xml:space="preserve"> have been studied as antibacterial, antifungal, antiprotozoal, antiviral and anti-inflammatory agents. [44:39]</w:t>
            </w:r>
          </w:p>
          <w:p>
            <w:pPr>
              <w:pStyle w:val="ListBullet"/>
              <w:spacing w:after="40"/>
            </w:pPr>
            <w:r>
              <w:rPr>
                <w:b w:val="0"/>
                <w:i w:val="0"/>
                <w:sz w:val="20"/>
              </w:rPr>
              <w:t xml:space="preserve">More antibiotics go into </w:t>
            </w:r>
            <w:r>
              <w:rPr>
                <w:b/>
                <w:i w:val="0"/>
                <w:sz w:val="20"/>
              </w:rPr>
              <w:t>animal feed</w:t>
            </w:r>
            <w:r>
              <w:rPr>
                <w:b w:val="0"/>
                <w:i w:val="0"/>
                <w:sz w:val="20"/>
              </w:rPr>
              <w:t xml:space="preserve"> than to anything else. [45:31]</w:t>
            </w:r>
          </w:p>
          <w:p>
            <w:pPr>
              <w:spacing w:after="120"/>
            </w:pPr>
            <w:r>
              <w:rPr>
                <w:b/>
                <w:i w:val="0"/>
              </w:rPr>
              <w:t>Slips to ignore.</w:t>
            </w:r>
            <w:r>
              <w:rPr>
                <w:b w:val="0"/>
                <w:i w:val="0"/>
              </w:rPr>
              <w:t xml:space="preserve"> Introducing slide 15 she said “the non-steroidal anti-inflammatories” [14:46]; the slide says </w:t>
            </w:r>
            <w:r>
              <w:rPr>
                <w:b/>
                <w:i w:val="0"/>
              </w:rPr>
              <w:t>systemic corticosteroids</w:t>
            </w:r>
            <w:r>
              <w:rPr>
                <w:b w:val="0"/>
                <w:i w:val="0"/>
              </w:rPr>
              <w:t xml:space="preserve">, which are steroids. She introduced empiric therapy as “prescribing antibiotics before anything happens” with the old dental example [09:00–09:30]; that is prophylaxis. Empiric therapy, as slide 11 defines it, </w:t>
            </w:r>
            <w:r>
              <w:rPr>
                <w:b/>
                <w:i w:val="0"/>
              </w:rPr>
              <w:t>treats a suspected infection before the culture results are back</w:t>
            </w:r>
            <w:r>
              <w:rPr>
                <w:b w:val="0"/>
                <w:i w:val="0"/>
              </w:rPr>
              <w:t xml:space="preserve">. Of the phage gene-transfer worry she asked “what if the bacteriophage deoxyribonucleic acid is then incorporated into human cells?” [25:32]; phages infect only bacteria, and the slide’s “host cell” is the bacterium (11.7). Her ESKAPE letters began “E for </w:t>
            </w:r>
            <w:r>
              <w:rPr>
                <w:b w:val="0"/>
                <w:i/>
              </w:rPr>
              <w:t>E. coli</w:t>
            </w:r>
            <w:r>
              <w:rPr>
                <w:b w:val="0"/>
                <w:i w:val="0"/>
              </w:rPr>
              <w:t xml:space="preserve">” [19:18]; the usual first E is </w:t>
            </w:r>
            <w:r>
              <w:rPr>
                <w:b w:val="0"/>
                <w:i/>
              </w:rPr>
              <w:t>Enterococcus faecium</w:t>
            </w:r>
            <w:r>
              <w:rPr>
                <w:b w:val="0"/>
                <w:i w:val="0"/>
              </w:rPr>
              <w:t>. And penicillin’s discovery was in London (St Mary’s Hospital), not Edinburgh [03:27].</w:t>
            </w:r>
          </w:p>
        </w:tc>
      </w:tr>
    </w:tbl>
    <w:p>
      <w:pPr>
        <w:spacing w:after="80"/>
      </w:pPr>
    </w:p>
    <w:p>
      <w:pPr>
        <w:pStyle w:val="Heading2"/>
        <w:spacing w:before="200" w:after="100"/>
      </w:pPr>
      <w:r>
        <w:rPr>
          <w:rFonts w:ascii="Georgia" w:hAnsi="Georgia"/>
          <w:color w:val="1F4D2B"/>
        </w:rPr>
        <w:t>11.1 · Objective 1 — Why novel therapies: resistance and stewardship</w:t>
      </w:r>
    </w:p>
    <w:p>
      <w:pPr>
        <w:spacing w:after="120"/>
      </w:pPr>
      <w:r>
        <w:rPr>
          <w:b/>
          <w:i w:val="0"/>
        </w:rPr>
        <w:t>What drives the need for novel therapies</w:t>
      </w:r>
      <w:r>
        <w:rPr>
          <w:b w:val="0"/>
          <w:i w:val="0"/>
        </w:rPr>
        <w:t xml:space="preserve"> is antimicrobial and antibiotic </w:t>
      </w:r>
      <w:r>
        <w:rPr>
          <w:b/>
          <w:i w:val="0"/>
        </w:rPr>
        <w:t>resistance</w:t>
      </w:r>
      <w:r>
        <w:rPr>
          <w:b w:val="0"/>
          <w:i w:val="0"/>
        </w:rPr>
        <w:t>, fed by:</w:t>
      </w:r>
    </w:p>
    <w:p>
      <w:pPr>
        <w:pStyle w:val="ListBullet"/>
        <w:spacing w:after="40"/>
      </w:pPr>
      <w:r>
        <w:rPr>
          <w:b/>
          <w:i w:val="0"/>
          <w:sz w:val="20"/>
        </w:rPr>
        <w:t>Over-use of antibiotics in agriculture</w:t>
      </w:r>
      <w:r>
        <w:rPr>
          <w:b w:val="0"/>
          <w:i w:val="0"/>
          <w:sz w:val="20"/>
        </w:rPr>
        <w:t>, in plants and in animals;</w:t>
      </w:r>
    </w:p>
    <w:p>
      <w:pPr>
        <w:pStyle w:val="ListBullet"/>
        <w:spacing w:after="40"/>
      </w:pPr>
      <w:r>
        <w:rPr>
          <w:b/>
          <w:i w:val="0"/>
          <w:sz w:val="20"/>
        </w:rPr>
        <w:t>clinically inappropriate prescriptions</w:t>
      </w:r>
      <w:r>
        <w:rPr>
          <w:b w:val="0"/>
          <w:i w:val="0"/>
          <w:sz w:val="20"/>
        </w:rPr>
        <w:t xml:space="preserve">, which create the need for </w:t>
      </w:r>
      <w:r>
        <w:rPr>
          <w:b/>
          <w:i w:val="0"/>
          <w:sz w:val="20"/>
        </w:rPr>
        <w:t>antimicrobial stewardship</w:t>
      </w:r>
      <w:r>
        <w:rPr>
          <w:b w:val="0"/>
          <w:i w:val="0"/>
          <w:sz w:val="20"/>
        </w:rPr>
        <w:t>: education of clinicians and of patients;</w:t>
      </w:r>
    </w:p>
    <w:p>
      <w:pPr>
        <w:pStyle w:val="ListBullet"/>
        <w:spacing w:after="40"/>
      </w:pPr>
      <w:r>
        <w:rPr>
          <w:b/>
          <w:i w:val="0"/>
          <w:sz w:val="20"/>
        </w:rPr>
        <w:t>antibiotic prophylaxis</w:t>
      </w:r>
      <w:r>
        <w:rPr>
          <w:b w:val="0"/>
          <w:i w:val="0"/>
          <w:sz w:val="20"/>
        </w:rPr>
        <w:t>, used to reduce infection risk “when possible” (11.3 lists the circumstances where it is justified);</w:t>
      </w:r>
    </w:p>
    <w:p>
      <w:pPr>
        <w:pStyle w:val="ListBullet"/>
        <w:spacing w:after="40"/>
      </w:pPr>
      <w:r>
        <w:rPr>
          <w:b/>
          <w:i w:val="0"/>
          <w:sz w:val="20"/>
        </w:rPr>
        <w:t>patient non-compliance</w:t>
      </w:r>
      <w:r>
        <w:rPr>
          <w:b w:val="0"/>
          <w:i w:val="0"/>
          <w:sz w:val="20"/>
        </w:rPr>
        <w:t>, such as stopping a course early or leaving against medical advice.</w:t>
      </w:r>
    </w:p>
    <w:p>
      <w:pPr>
        <w:spacing w:after="120"/>
      </w:pPr>
      <w:r>
        <w:rPr>
          <w:b/>
          <w:i w:val="0"/>
        </w:rPr>
        <w:t>Antibiotic resistance</w:t>
      </w:r>
      <w:r>
        <w:rPr>
          <w:b w:val="0"/>
          <w:i w:val="0"/>
        </w:rPr>
        <w:t xml:space="preserve"> is a type of drug resistance that renders the antibiotic ineffective in killing or controlling bacterial growth (slide 6). It belongs to the bacteria, not to the patient: an allergy is the patient reacting to the drug; resistance is the drug no longer working on the organism.</w:t>
      </w:r>
    </w:p>
    <w:p>
      <w:pPr>
        <w:jc w:val="center"/>
      </w:pPr>
      <w:r>
        <w:drawing>
          <wp:inline xmlns:a="http://schemas.openxmlformats.org/drawingml/2006/main" xmlns:pic="http://schemas.openxmlformats.org/drawingml/2006/picture">
            <wp:extent cx="3840480" cy="2670646"/>
            <wp:docPr id="37" name="Picture 37"/>
            <wp:cNvGraphicFramePr>
              <a:graphicFrameLocks noChangeAspect="1"/>
            </wp:cNvGraphicFramePr>
            <a:graphic>
              <a:graphicData uri="http://schemas.openxmlformats.org/drawingml/2006/picture">
                <pic:pic>
                  <pic:nvPicPr>
                    <pic:cNvPr id="0" name="Microbiology_Exam_2_micro-exam-2-study-guide-images_l11-s04-stewardship-cycle.jpg"/>
                    <pic:cNvPicPr/>
                  </pic:nvPicPr>
                  <pic:blipFill>
                    <a:blip r:embed="rId45"/>
                    <a:stretch>
                      <a:fillRect/>
                    </a:stretch>
                  </pic:blipFill>
                  <pic:spPr>
                    <a:xfrm>
                      <a:off x="0" y="0"/>
                      <a:ext cx="3840480" cy="2670646"/>
                    </a:xfrm>
                    <a:prstGeom prst="rect"/>
                  </pic:spPr>
                </pic:pic>
              </a:graphicData>
            </a:graphic>
          </wp:inline>
        </w:drawing>
      </w:r>
    </w:p>
    <w:p>
      <w:pPr>
        <w:spacing w:after="160"/>
        <w:jc w:val="center"/>
      </w:pPr>
      <w:r>
        <w:rPr>
          <w:sz w:val="15"/>
        </w:rPr>
        <w:t>Antimicrobial stewardship as a cycle. Diagnose a bacterial disease first; then ask whether a non-antibiotic alternative could prevent, control or treat it; use antimicrobials judiciously, when they are needed ; and re-evaluate the need for them, which brings you back to the start. Source: PAJ5200.Novel Antimicrobial Therapies-2.pptx, Slide 4.</w:t>
      </w:r>
    </w:p>
    <w:p>
      <w:pPr>
        <w:jc w:val="center"/>
      </w:pPr>
      <w:r>
        <w:drawing>
          <wp:inline xmlns:a="http://schemas.openxmlformats.org/drawingml/2006/main" xmlns:pic="http://schemas.openxmlformats.org/drawingml/2006/picture">
            <wp:extent cx="3840480" cy="1920240"/>
            <wp:docPr id="38" name="Picture 38"/>
            <wp:cNvGraphicFramePr>
              <a:graphicFrameLocks noChangeAspect="1"/>
            </wp:cNvGraphicFramePr>
            <a:graphic>
              <a:graphicData uri="http://schemas.openxmlformats.org/drawingml/2006/picture">
                <pic:pic>
                  <pic:nvPicPr>
                    <pic:cNvPr id="0" name="Microbiology_Exam_2_micro-exam-2-study-guide-images_l11-s05-six-antibiotic-facts.jpg"/>
                    <pic:cNvPicPr/>
                  </pic:nvPicPr>
                  <pic:blipFill>
                    <a:blip r:embed="rId46"/>
                    <a:stretch>
                      <a:fillRect/>
                    </a:stretch>
                  </pic:blipFill>
                  <pic:spPr>
                    <a:xfrm>
                      <a:off x="0" y="0"/>
                      <a:ext cx="3840480" cy="1920240"/>
                    </a:xfrm>
                    <a:prstGeom prst="rect"/>
                  </pic:spPr>
                </pic:pic>
              </a:graphicData>
            </a:graphic>
          </wp:inline>
        </w:drawing>
      </w:r>
    </w:p>
    <w:p>
      <w:pPr>
        <w:spacing w:after="160"/>
        <w:jc w:val="center"/>
      </w:pPr>
      <w:r>
        <w:rPr>
          <w:sz w:val="15"/>
        </w:rPr>
        <w:t>Six facts about antibiotic use to give patients: antibiotics are life-saving ; they treat only bacterial infections; some ear infections and most sore throats do not need one; green mucus is not a sign that one is needed; and every prescription drug carries risks (allergy, rash, diarrhea). Source: PAJ5200.Novel Antimicrobial Therapies-2.pptx, Slide 5.</w:t>
      </w:r>
    </w:p>
    <w:p>
      <w:pPr>
        <w:spacing w:after="120"/>
      </w:pPr>
      <w:r>
        <w:rPr>
          <w:b/>
          <w:i w:val="0"/>
        </w:rPr>
        <w:t>Resistance follows use.</w:t>
      </w:r>
      <w:r>
        <w:rPr>
          <w:b w:val="0"/>
          <w:i w:val="0"/>
        </w:rPr>
        <w:t xml:space="preserve"> There are over 100 antibiotics on the market, and resistance is still becoming more prevalent. Slide 8 tracks three of them from discovery to widespread clinical use to the first resistance detected: penicillin, vancomycin and azithromycin each met resistant bacteria within a few years to about two decades of coming into wide use. (The exact years differ between sources; the pattern is the point.)</w:t>
      </w:r>
    </w:p>
    <w:p>
      <w:pPr>
        <w:spacing w:after="120"/>
      </w:pPr>
      <w:r>
        <w:rPr>
          <w:b/>
          <w:i w:val="0"/>
        </w:rPr>
        <w:t>The “superbugs”</w:t>
      </w:r>
      <w:r>
        <w:rPr>
          <w:b w:val="0"/>
          <w:i w:val="0"/>
        </w:rPr>
        <w:t xml:space="preserve"> (slide 16): methicillin-resistant and methicillin-susceptible </w:t>
      </w:r>
      <w:r>
        <w:rPr>
          <w:b w:val="0"/>
          <w:i/>
        </w:rPr>
        <w:t>Staphylococcus aureus</w:t>
      </w:r>
      <w:r>
        <w:rPr>
          <w:b w:val="0"/>
          <w:i w:val="0"/>
        </w:rPr>
        <w:t xml:space="preserve"> (MRSA, MSSA), vancomycin-resistant and vancomycin-intermediate </w:t>
      </w:r>
      <w:r>
        <w:rPr>
          <w:b w:val="0"/>
          <w:i/>
        </w:rPr>
        <w:t>Staphylococcus aureus</w:t>
      </w:r>
      <w:r>
        <w:rPr>
          <w:b w:val="0"/>
          <w:i w:val="0"/>
        </w:rPr>
        <w:t xml:space="preserve"> (VRSA, VISA), toxigenic </w:t>
      </w:r>
      <w:r>
        <w:rPr>
          <w:b w:val="0"/>
          <w:i/>
        </w:rPr>
        <w:t>Escherichia coli</w:t>
      </w:r>
      <w:r>
        <w:rPr>
          <w:b w:val="0"/>
          <w:i w:val="0"/>
        </w:rPr>
        <w:t xml:space="preserve">, </w:t>
      </w:r>
      <w:r>
        <w:rPr>
          <w:b w:val="0"/>
          <w:i/>
        </w:rPr>
        <w:t>Clostridioides difficile</w:t>
      </w:r>
      <w:r>
        <w:rPr>
          <w:b w:val="0"/>
          <w:i w:val="0"/>
        </w:rPr>
        <w:t xml:space="preserve">, </w:t>
      </w:r>
      <w:r>
        <w:rPr>
          <w:b w:val="0"/>
          <w:i/>
        </w:rPr>
        <w:t>Neisseria gonorrhoeae</w:t>
      </w:r>
      <w:r>
        <w:rPr>
          <w:b w:val="0"/>
          <w:i w:val="0"/>
        </w:rPr>
        <w:t xml:space="preserve">, </w:t>
      </w:r>
      <w:r>
        <w:rPr>
          <w:b w:val="0"/>
          <w:i/>
        </w:rPr>
        <w:t>Mycobacterium tuberculosis</w:t>
      </w:r>
      <w:r>
        <w:rPr>
          <w:b w:val="0"/>
          <w:i w:val="0"/>
        </w:rPr>
        <w:t xml:space="preserve">, carbapenem-resistant </w:t>
      </w:r>
      <w:r>
        <w:rPr>
          <w:b w:val="0"/>
          <w:i/>
        </w:rPr>
        <w:t>Klebsiella pneumoniae</w:t>
      </w:r>
      <w:r>
        <w:rPr>
          <w:b w:val="0"/>
          <w:i w:val="0"/>
        </w:rPr>
        <w:t xml:space="preserve">, vancomycin-resistant </w:t>
      </w:r>
      <w:r>
        <w:rPr>
          <w:b w:val="0"/>
          <w:i/>
        </w:rPr>
        <w:t>Enterococcus</w:t>
      </w:r>
      <w:r>
        <w:rPr>
          <w:b w:val="0"/>
          <w:i w:val="0"/>
        </w:rPr>
        <w:t xml:space="preserve"> and </w:t>
      </w:r>
      <w:r>
        <w:rPr>
          <w:b w:val="0"/>
          <w:i/>
        </w:rPr>
        <w:t>Pseudomonas</w:t>
      </w:r>
      <w:r>
        <w:rPr>
          <w:b w:val="0"/>
          <w:i w:val="0"/>
        </w:rPr>
        <w:t xml:space="preserve">. The slide’s notes add the </w:t>
      </w:r>
      <w:r>
        <w:rPr>
          <w:b/>
          <w:i w:val="0"/>
        </w:rPr>
        <w:t>ESKAPE pathogens</w:t>
      </w:r>
      <w:r>
        <w:rPr>
          <w:b w:val="0"/>
          <w:i w:val="0"/>
        </w:rPr>
        <w:t>, which top the lists of organisms causing nosocomial (hospital-acquired) infections.</w:t>
      </w:r>
    </w:p>
    <w:p>
      <w:pPr>
        <w:pStyle w:val="Heading2"/>
        <w:spacing w:before="200" w:after="100"/>
      </w:pPr>
      <w:r>
        <w:rPr>
          <w:rFonts w:ascii="Georgia" w:hAnsi="Georgia"/>
          <w:color w:val="1F4D2B"/>
        </w:rPr>
        <w:t>11.2 · Objective 1 — How antibiotics are chosen: testing, antibiograms, empiric therapy</w:t>
      </w:r>
    </w:p>
    <w:p>
      <w:pPr>
        <w:spacing w:after="120"/>
      </w:pPr>
      <w:r>
        <w:rPr>
          <w:b/>
          <w:i w:val="0"/>
        </w:rPr>
        <w:t>Disk diffusion (Kirby-Bauer).</w:t>
      </w:r>
      <w:r>
        <w:rPr>
          <w:b w:val="0"/>
          <w:i w:val="0"/>
        </w:rPr>
        <w:t xml:space="preserve"> White paper disks treated with antibiotics are placed on an agar plate inoculated with the organism. The antibiotic diffuses out, and the circular </w:t>
      </w:r>
      <w:r>
        <w:rPr>
          <w:b/>
          <w:i w:val="0"/>
        </w:rPr>
        <w:t>zone of inhibition</w:t>
      </w:r>
      <w:r>
        <w:rPr>
          <w:b w:val="0"/>
          <w:i w:val="0"/>
        </w:rPr>
        <w:t xml:space="preserve"> around each disk shows how effective, or how ineffective, that antimicrobial is against the organism: a wide clear ring means growth was stopped; growth up to the disk means the drug had little effect.</w:t>
      </w:r>
    </w:p>
    <w:p>
      <w:pPr>
        <w:jc w:val="center"/>
      </w:pPr>
      <w:r>
        <w:drawing>
          <wp:inline xmlns:a="http://schemas.openxmlformats.org/drawingml/2006/main" xmlns:pic="http://schemas.openxmlformats.org/drawingml/2006/picture">
            <wp:extent cx="3840480" cy="2877978"/>
            <wp:docPr id="39" name="Picture 39"/>
            <wp:cNvGraphicFramePr>
              <a:graphicFrameLocks noChangeAspect="1"/>
            </wp:cNvGraphicFramePr>
            <a:graphic>
              <a:graphicData uri="http://schemas.openxmlformats.org/drawingml/2006/picture">
                <pic:pic>
                  <pic:nvPicPr>
                    <pic:cNvPr id="0" name="Microbiology_Exam_2_micro-exam-2-study-guide-images_l11-s09-disk-diffusion.jpg"/>
                    <pic:cNvPicPr/>
                  </pic:nvPicPr>
                  <pic:blipFill>
                    <a:blip r:embed="rId47"/>
                    <a:stretch>
                      <a:fillRect/>
                    </a:stretch>
                  </pic:blipFill>
                  <pic:spPr>
                    <a:xfrm>
                      <a:off x="0" y="0"/>
                      <a:ext cx="3840480" cy="2877978"/>
                    </a:xfrm>
                    <a:prstGeom prst="rect"/>
                  </pic:spPr>
                </pic:pic>
              </a:graphicData>
            </a:graphic>
          </wp:inline>
        </w:drawing>
      </w:r>
    </w:p>
    <w:p>
      <w:pPr>
        <w:spacing w:after="160"/>
        <w:jc w:val="center"/>
      </w:pPr>
      <w:r>
        <w:rPr>
          <w:sz w:val="15"/>
        </w:rPr>
        <w:t>Zones of inhibition. Escherichia coli (left) and Staphylococcus aureus (right) on disk-diffusion plates: the clear rings on the right are where the antibiotics stopped growth; on the left the bacteria grow nearly up to the disks. Source: PAJ5200.Novel Antimicrobial Therapies-2.pptx, Slide 9.</w:t>
      </w:r>
    </w:p>
    <w:p>
      <w:pPr>
        <w:spacing w:after="120"/>
      </w:pPr>
      <w:r>
        <w:rPr>
          <w:b/>
          <w:i w:val="0"/>
        </w:rPr>
        <w:t>Antibiograms</w:t>
      </w:r>
      <w:r>
        <w:rPr>
          <w:b w:val="0"/>
          <w:i w:val="0"/>
        </w:rPr>
        <w:t xml:space="preserve"> are profiles of antimicrobial susceptibility, by percentage, used to guide </w:t>
      </w:r>
      <w:r>
        <w:rPr>
          <w:b/>
          <w:i w:val="0"/>
        </w:rPr>
        <w:t>empiric therapy</w:t>
      </w:r>
      <w:r>
        <w:rPr>
          <w:b w:val="0"/>
          <w:i w:val="0"/>
        </w:rPr>
        <w:t xml:space="preserve">. On the slide’s example, methicillin-resistant </w:t>
      </w:r>
      <w:r>
        <w:rPr>
          <w:b w:val="0"/>
          <w:i/>
        </w:rPr>
        <w:t>Staphylococcus aureus</w:t>
      </w:r>
      <w:r>
        <w:rPr>
          <w:b w:val="0"/>
          <w:i w:val="0"/>
        </w:rPr>
        <w:t xml:space="preserve"> is far less often susceptible than methicillin-susceptible strains to ciprofloxacin and erythromycin, while both are fully susceptible to vancomycin. The limitations:</w:t>
      </w:r>
    </w:p>
    <w:p>
      <w:pPr>
        <w:pStyle w:val="ListBullet"/>
        <w:spacing w:after="40"/>
      </w:pPr>
      <w:r>
        <w:rPr>
          <w:b w:val="0"/>
          <w:i w:val="0"/>
          <w:sz w:val="20"/>
        </w:rPr>
        <w:t xml:space="preserve">the </w:t>
      </w:r>
      <w:r>
        <w:rPr>
          <w:b/>
          <w:i w:val="0"/>
          <w:sz w:val="20"/>
        </w:rPr>
        <w:t>minimum inhibitory concentration is not included</w:t>
      </w:r>
      <w:r>
        <w:rPr>
          <w:b w:val="0"/>
          <w:i w:val="0"/>
          <w:sz w:val="20"/>
        </w:rPr>
        <w:t>;</w:t>
      </w:r>
    </w:p>
    <w:p>
      <w:pPr>
        <w:pStyle w:val="ListBullet"/>
        <w:spacing w:after="40"/>
      </w:pPr>
      <w:r>
        <w:rPr>
          <w:b w:val="0"/>
          <w:i w:val="0"/>
          <w:sz w:val="20"/>
        </w:rPr>
        <w:t xml:space="preserve">the </w:t>
      </w:r>
      <w:r>
        <w:rPr>
          <w:b/>
          <w:i w:val="0"/>
          <w:sz w:val="20"/>
        </w:rPr>
        <w:t>patient’s risk factors are not considered</w:t>
      </w:r>
      <w:r>
        <w:rPr>
          <w:b w:val="0"/>
          <w:i w:val="0"/>
          <w:sz w:val="20"/>
        </w:rPr>
        <w:t>;</w:t>
      </w:r>
    </w:p>
    <w:p>
      <w:pPr>
        <w:pStyle w:val="ListBullet"/>
        <w:spacing w:after="40"/>
      </w:pPr>
      <w:r>
        <w:rPr>
          <w:b w:val="0"/>
          <w:i w:val="0"/>
          <w:sz w:val="20"/>
        </w:rPr>
        <w:t xml:space="preserve">there are </w:t>
      </w:r>
      <w:r>
        <w:rPr>
          <w:b/>
          <w:i w:val="0"/>
          <w:sz w:val="20"/>
        </w:rPr>
        <w:t>no data on synergy</w:t>
      </w:r>
      <w:r>
        <w:rPr>
          <w:b w:val="0"/>
          <w:i w:val="0"/>
          <w:sz w:val="20"/>
        </w:rPr>
        <w:t xml:space="preserve"> when antimicrobials are used in combination;</w:t>
      </w:r>
    </w:p>
    <w:p>
      <w:pPr>
        <w:pStyle w:val="ListBullet"/>
        <w:spacing w:after="40"/>
      </w:pPr>
      <w:r>
        <w:rPr>
          <w:b w:val="0"/>
          <w:i w:val="0"/>
          <w:sz w:val="20"/>
        </w:rPr>
        <w:t xml:space="preserve">the data </w:t>
      </w:r>
      <w:r>
        <w:rPr>
          <w:b/>
          <w:i w:val="0"/>
          <w:sz w:val="20"/>
        </w:rPr>
        <w:t>may apply only to a single hospital</w:t>
      </w:r>
      <w:r>
        <w:rPr>
          <w:b w:val="0"/>
          <w:i w:val="0"/>
          <w:sz w:val="20"/>
        </w:rPr>
        <w:t xml:space="preserve"> within a health system.</w:t>
      </w:r>
    </w:p>
    <w:p>
      <w:pPr>
        <w:spacing w:after="120"/>
      </w:pPr>
      <w:r>
        <w:rPr>
          <w:b/>
          <w:i w:val="0"/>
        </w:rPr>
        <w:t>Empiric therapy</w:t>
      </w:r>
      <w:r>
        <w:rPr>
          <w:b w:val="0"/>
          <w:i w:val="0"/>
        </w:rPr>
        <w:t xml:space="preserve"> means antibiotics prescribed </w:t>
      </w:r>
      <w:r>
        <w:rPr>
          <w:b/>
          <w:i w:val="0"/>
        </w:rPr>
        <w:t>before</w:t>
      </w:r>
      <w:r>
        <w:rPr>
          <w:b w:val="0"/>
          <w:i w:val="0"/>
        </w:rPr>
        <w:t xml:space="preserve"> cultures are confirmed or other diagnostic results are available. It is common in human and veterinary medicine, especially for </w:t>
      </w:r>
      <w:r>
        <w:rPr>
          <w:b/>
          <w:i w:val="0"/>
        </w:rPr>
        <w:t>critically ill or emergent</w:t>
      </w:r>
      <w:r>
        <w:rPr>
          <w:b w:val="0"/>
          <w:i w:val="0"/>
        </w:rPr>
        <w:t xml:space="preserve"> patients, is based on </w:t>
      </w:r>
      <w:r>
        <w:rPr>
          <w:b/>
          <w:i w:val="0"/>
        </w:rPr>
        <w:t>prior clinical experience and/or antibiograms</w:t>
      </w:r>
      <w:r>
        <w:rPr>
          <w:b w:val="0"/>
          <w:i w:val="0"/>
        </w:rPr>
        <w:t xml:space="preserve">, and is then </w:t>
      </w:r>
      <w:r>
        <w:rPr>
          <w:b/>
          <w:i w:val="0"/>
        </w:rPr>
        <w:t>adjusted</w:t>
      </w:r>
      <w:r>
        <w:rPr>
          <w:b w:val="0"/>
          <w:i w:val="0"/>
        </w:rPr>
        <w:t xml:space="preserve"> once results arrive (for example, from intravenous to oral). “Why empirical therapy? Because it works!” (Klastersky, 2009).</w:t>
      </w:r>
    </w:p>
    <w:p>
      <w:pPr>
        <w:pStyle w:val="Heading2"/>
        <w:spacing w:before="200" w:after="100"/>
      </w:pPr>
      <w:r>
        <w:rPr>
          <w:rFonts w:ascii="Georgia" w:hAnsi="Georgia"/>
          <w:color w:val="1F4D2B"/>
        </w:rPr>
        <w:t>11.3 · Objective 1 — Prophylaxis and the costs of antimicrobials</w:t>
      </w:r>
    </w:p>
    <w:p>
      <w:pPr>
        <w:spacing w:after="120"/>
      </w:pPr>
      <w:r>
        <w:rPr>
          <w:b/>
          <w:i w:val="0"/>
        </w:rPr>
        <w:t>Special circumstances</w:t>
      </w:r>
      <w:r>
        <w:rPr>
          <w:b w:val="0"/>
          <w:i w:val="0"/>
        </w:rPr>
        <w:t xml:space="preserve"> where antimicrobials are given to prevent rather than treat (slides 12–13):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Circumstance</w:t>
            </w:r>
          </w:p>
        </w:tc>
        <w:tc>
          <w:tcPr>
            <w:tcW w:type="dxa" w:w="5112"/>
            <w:shd w:val="clear" w:color="auto" w:fill="1F4D2B"/>
          </w:tcPr>
          <w:p>
            <w:pPr>
              <w:spacing w:after="40"/>
            </w:pPr>
            <w:r>
              <w:rPr>
                <w:b/>
                <w:color w:val="FFFFFF"/>
                <w:sz w:val="18"/>
              </w:rPr>
            </w:r>
            <w:r>
              <w:rPr>
                <w:b/>
                <w:i w:val="0"/>
                <w:color w:val="FFFFFF"/>
                <w:sz w:val="18"/>
              </w:rPr>
              <w:t>Why, and the examples</w:t>
            </w:r>
          </w:p>
        </w:tc>
      </w:tr>
      <w:tr>
        <w:tc>
          <w:tcPr>
            <w:tcW w:type="dxa" w:w="5112"/>
          </w:tcPr>
          <w:p>
            <w:pPr>
              <w:spacing w:after="40"/>
            </w:pPr>
            <w:r>
              <w:rPr>
                <w:sz w:val="18"/>
              </w:rPr>
            </w:r>
            <w:r>
              <w:rPr>
                <w:b w:val="0"/>
                <w:i w:val="0"/>
                <w:sz w:val="18"/>
              </w:rPr>
              <w:t>Foreign body-associated infections</w:t>
            </w:r>
          </w:p>
        </w:tc>
        <w:tc>
          <w:tcPr>
            <w:tcW w:type="dxa" w:w="5112"/>
          </w:tcPr>
          <w:p>
            <w:pPr>
              <w:spacing w:after="40"/>
            </w:pPr>
            <w:r>
              <w:rPr>
                <w:sz w:val="18"/>
              </w:rPr>
            </w:r>
            <w:r>
              <w:rPr>
                <w:b w:val="0"/>
                <w:i w:val="0"/>
                <w:sz w:val="18"/>
              </w:rPr>
              <w:t xml:space="preserve">Prosthetic implants and devices are prone to microbial </w:t>
            </w:r>
            <w:r>
              <w:rPr>
                <w:b/>
                <w:i w:val="0"/>
                <w:sz w:val="18"/>
              </w:rPr>
              <w:t>biofilm</w:t>
            </w:r>
            <w:r>
              <w:rPr>
                <w:b w:val="0"/>
                <w:i w:val="0"/>
                <w:sz w:val="18"/>
              </w:rPr>
              <w:t xml:space="preserve"> formation.</w:t>
            </w:r>
          </w:p>
        </w:tc>
      </w:tr>
      <w:tr>
        <w:tc>
          <w:tcPr>
            <w:tcW w:type="dxa" w:w="5112"/>
          </w:tcPr>
          <w:p>
            <w:pPr>
              <w:spacing w:after="40"/>
            </w:pPr>
            <w:r>
              <w:rPr>
                <w:sz w:val="18"/>
              </w:rPr>
            </w:r>
            <w:r>
              <w:rPr>
                <w:b w:val="0"/>
                <w:i w:val="0"/>
                <w:sz w:val="18"/>
              </w:rPr>
              <w:t>Presurgical prophylaxis</w:t>
            </w:r>
          </w:p>
        </w:tc>
        <w:tc>
          <w:tcPr>
            <w:tcW w:type="dxa" w:w="5112"/>
          </w:tcPr>
          <w:p>
            <w:pPr>
              <w:spacing w:after="40"/>
            </w:pPr>
            <w:r>
              <w:rPr>
                <w:sz w:val="18"/>
              </w:rPr>
            </w:r>
            <w:r>
              <w:rPr>
                <w:b w:val="0"/>
                <w:i w:val="0"/>
                <w:sz w:val="18"/>
              </w:rPr>
              <w:t xml:space="preserve">Reduces the incidence of </w:t>
            </w:r>
            <w:r>
              <w:rPr>
                <w:b/>
                <w:i w:val="0"/>
                <w:sz w:val="18"/>
              </w:rPr>
              <w:t>post-operative surgical site infections</w:t>
            </w:r>
            <w:r>
              <w:rPr>
                <w:b w:val="0"/>
                <w:i w:val="0"/>
                <w:sz w:val="18"/>
              </w:rPr>
              <w:t>.</w:t>
            </w:r>
          </w:p>
        </w:tc>
      </w:tr>
      <w:tr>
        <w:tc>
          <w:tcPr>
            <w:tcW w:type="dxa" w:w="5112"/>
          </w:tcPr>
          <w:p>
            <w:pPr>
              <w:spacing w:after="40"/>
            </w:pPr>
            <w:r>
              <w:rPr>
                <w:sz w:val="18"/>
              </w:rPr>
            </w:r>
            <w:r>
              <w:rPr>
                <w:b w:val="0"/>
                <w:i w:val="0"/>
                <w:sz w:val="18"/>
              </w:rPr>
              <w:t>Immunocompromised patients</w:t>
            </w:r>
          </w:p>
        </w:tc>
        <w:tc>
          <w:tcPr>
            <w:tcW w:type="dxa" w:w="5112"/>
          </w:tcPr>
          <w:p>
            <w:pPr>
              <w:spacing w:after="40"/>
            </w:pPr>
            <w:r>
              <w:rPr>
                <w:sz w:val="18"/>
              </w:rPr>
            </w:r>
            <w:r>
              <w:rPr>
                <w:b w:val="0"/>
                <w:i w:val="0"/>
                <w:sz w:val="18"/>
              </w:rPr>
              <w:t>Human immunodeficiency virus infection and acquired immunodeficiency syndrome, cancer chemotherapy, immunosuppressive therapy for organ transplant.</w:t>
            </w:r>
          </w:p>
        </w:tc>
      </w:tr>
      <w:tr>
        <w:tc>
          <w:tcPr>
            <w:tcW w:type="dxa" w:w="5112"/>
          </w:tcPr>
          <w:p>
            <w:pPr>
              <w:spacing w:after="40"/>
            </w:pPr>
            <w:r>
              <w:rPr>
                <w:sz w:val="18"/>
              </w:rPr>
            </w:r>
            <w:r>
              <w:rPr>
                <w:b w:val="0"/>
                <w:i w:val="0"/>
                <w:sz w:val="18"/>
              </w:rPr>
              <w:t>Contacts of an infected patient</w:t>
            </w:r>
          </w:p>
        </w:tc>
        <w:tc>
          <w:tcPr>
            <w:tcW w:type="dxa" w:w="5112"/>
          </w:tcPr>
          <w:p>
            <w:pPr>
              <w:spacing w:after="40"/>
            </w:pPr>
            <w:r>
              <w:rPr>
                <w:sz w:val="18"/>
              </w:rPr>
            </w:r>
            <w:r>
              <w:rPr>
                <w:b w:val="0"/>
                <w:i w:val="0"/>
                <w:sz w:val="18"/>
              </w:rPr>
              <w:t xml:space="preserve">Prevents transmission to susceptible contacts, for example </w:t>
            </w:r>
            <w:r>
              <w:rPr>
                <w:b/>
                <w:i w:val="0"/>
                <w:sz w:val="18"/>
              </w:rPr>
              <w:t>tuberculosis, meningitis or pertussis</w:t>
            </w:r>
            <w:r>
              <w:rPr>
                <w:b w:val="0"/>
                <w:i w:val="0"/>
                <w:sz w:val="18"/>
              </w:rPr>
              <w:t>.</w:t>
            </w:r>
          </w:p>
        </w:tc>
      </w:tr>
      <w:tr>
        <w:tc>
          <w:tcPr>
            <w:tcW w:type="dxa" w:w="5112"/>
          </w:tcPr>
          <w:p>
            <w:pPr>
              <w:spacing w:after="40"/>
            </w:pPr>
            <w:r>
              <w:rPr>
                <w:sz w:val="18"/>
              </w:rPr>
            </w:r>
            <w:r>
              <w:rPr>
                <w:b w:val="0"/>
                <w:i w:val="0"/>
                <w:sz w:val="18"/>
              </w:rPr>
              <w:t>Dental and other invasive procedures</w:t>
            </w:r>
          </w:p>
        </w:tc>
        <w:tc>
          <w:tcPr>
            <w:tcW w:type="dxa" w:w="5112"/>
          </w:tcPr>
          <w:p>
            <w:pPr>
              <w:spacing w:after="40"/>
            </w:pPr>
            <w:r>
              <w:rPr>
                <w:sz w:val="18"/>
              </w:rPr>
            </w:r>
            <w:r>
              <w:rPr>
                <w:b w:val="0"/>
                <w:i w:val="0"/>
                <w:sz w:val="18"/>
              </w:rPr>
              <w:t xml:space="preserve">Many dentists now limit it to a </w:t>
            </w:r>
            <w:r>
              <w:rPr>
                <w:b/>
                <w:i w:val="0"/>
                <w:sz w:val="18"/>
              </w:rPr>
              <w:t>few high-risk scenarios</w:t>
            </w:r>
            <w:r>
              <w:rPr>
                <w:b w:val="0"/>
                <w:i w:val="0"/>
                <w:sz w:val="18"/>
              </w:rPr>
              <w:t xml:space="preserve">, such as </w:t>
            </w:r>
            <w:r>
              <w:rPr>
                <w:b/>
                <w:i w:val="0"/>
                <w:sz w:val="18"/>
              </w:rPr>
              <w:t>prosthetic heart valves or a history of endocarditis</w:t>
            </w:r>
            <w:r>
              <w:rPr>
                <w:b w:val="0"/>
                <w:i w:val="0"/>
                <w:sz w:val="18"/>
              </w:rPr>
              <w:t>.</w:t>
            </w:r>
          </w:p>
        </w:tc>
      </w:tr>
      <w:tr>
        <w:tc>
          <w:tcPr>
            <w:tcW w:type="dxa" w:w="5112"/>
          </w:tcPr>
          <w:p>
            <w:pPr>
              <w:spacing w:after="40"/>
            </w:pPr>
            <w:r>
              <w:rPr>
                <w:sz w:val="18"/>
              </w:rPr>
            </w:r>
            <w:r>
              <w:rPr>
                <w:b w:val="0"/>
                <w:i w:val="0"/>
                <w:sz w:val="18"/>
              </w:rPr>
              <w:t>High-risk traumatic injuries</w:t>
            </w:r>
          </w:p>
        </w:tc>
        <w:tc>
          <w:tcPr>
            <w:tcW w:type="dxa" w:w="5112"/>
          </w:tcPr>
          <w:p>
            <w:pPr>
              <w:spacing w:after="40"/>
            </w:pPr>
            <w:r>
              <w:rPr>
                <w:sz w:val="18"/>
              </w:rPr>
            </w:r>
            <w:r>
              <w:rPr>
                <w:b w:val="0"/>
                <w:i w:val="0"/>
                <w:sz w:val="18"/>
              </w:rPr>
              <w:t xml:space="preserve">For example </w:t>
            </w:r>
            <w:r>
              <w:rPr>
                <w:b/>
                <w:i w:val="0"/>
                <w:sz w:val="18"/>
              </w:rPr>
              <w:t>animal bites</w:t>
            </w:r>
            <w:r>
              <w:rPr>
                <w:b w:val="0"/>
                <w:i w:val="0"/>
                <w:sz w:val="18"/>
              </w:rPr>
              <w:t xml:space="preserve"> or penetrating brain injury.</w:t>
            </w:r>
          </w:p>
        </w:tc>
      </w:tr>
    </w:tbl>
    <w:p>
      <w:pPr>
        <w:spacing w:after="80"/>
      </w:pPr>
    </w:p>
    <w:p>
      <w:pPr>
        <w:spacing w:after="120"/>
      </w:pPr>
      <w:r>
        <w:rPr>
          <w:b/>
          <w:i w:val="0"/>
        </w:rPr>
        <w:t>Adverse effects of antimicrobial drugs</w:t>
      </w:r>
      <w:r>
        <w:rPr>
          <w:b w:val="0"/>
          <w:i w:val="0"/>
        </w:rPr>
        <w:t xml:space="preserve"> come in two kinds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Direct (on the patient, from the drug)</w:t>
            </w:r>
          </w:p>
        </w:tc>
        <w:tc>
          <w:tcPr>
            <w:tcW w:type="dxa" w:w="5112"/>
            <w:shd w:val="clear" w:color="auto" w:fill="1F4D2B"/>
          </w:tcPr>
          <w:p>
            <w:pPr>
              <w:spacing w:after="40"/>
            </w:pPr>
            <w:r>
              <w:rPr>
                <w:b/>
                <w:color w:val="FFFFFF"/>
                <w:sz w:val="18"/>
              </w:rPr>
            </w:r>
            <w:r>
              <w:rPr>
                <w:b/>
                <w:i w:val="0"/>
                <w:color w:val="FFFFFF"/>
                <w:sz w:val="18"/>
              </w:rPr>
              <w:t>Indirect (through other microbes)</w:t>
            </w:r>
          </w:p>
        </w:tc>
      </w:tr>
      <w:tr>
        <w:tc>
          <w:tcPr>
            <w:tcW w:type="dxa" w:w="5112"/>
          </w:tcPr>
          <w:p>
            <w:pPr>
              <w:spacing w:after="40"/>
            </w:pPr>
            <w:r>
              <w:rPr>
                <w:sz w:val="18"/>
              </w:rPr>
            </w:r>
            <w:r>
              <w:rPr>
                <w:b w:val="0"/>
                <w:i w:val="0"/>
                <w:sz w:val="18"/>
              </w:rPr>
              <w:t xml:space="preserve">Allergy, possibly life-threatening; acute or chronic </w:t>
            </w:r>
            <w:r>
              <w:rPr>
                <w:b/>
                <w:i w:val="0"/>
                <w:sz w:val="18"/>
              </w:rPr>
              <w:t>toxicity</w:t>
            </w:r>
            <w:r>
              <w:rPr>
                <w:b w:val="0"/>
                <w:i w:val="0"/>
                <w:sz w:val="18"/>
              </w:rPr>
              <w:t xml:space="preserve"> (such as kidney or liver toxicity); </w:t>
            </w:r>
            <w:r>
              <w:rPr>
                <w:b/>
                <w:i w:val="0"/>
                <w:sz w:val="18"/>
              </w:rPr>
              <w:t>drug-drug interactions</w:t>
            </w:r>
            <w:r>
              <w:rPr>
                <w:b w:val="0"/>
                <w:i w:val="0"/>
                <w:sz w:val="18"/>
              </w:rPr>
              <w:t xml:space="preserve">; </w:t>
            </w:r>
            <w:r>
              <w:rPr>
                <w:b/>
                <w:i w:val="0"/>
                <w:sz w:val="18"/>
              </w:rPr>
              <w:t>therapeutic failure</w:t>
            </w:r>
            <w:r>
              <w:rPr>
                <w:b w:val="0"/>
                <w:i w:val="0"/>
                <w:sz w:val="18"/>
              </w:rPr>
              <w:t>.</w:t>
            </w:r>
          </w:p>
        </w:tc>
        <w:tc>
          <w:tcPr>
            <w:tcW w:type="dxa" w:w="5112"/>
          </w:tcPr>
          <w:p>
            <w:pPr>
              <w:spacing w:after="40"/>
            </w:pPr>
            <w:r>
              <w:rPr>
                <w:sz w:val="18"/>
              </w:rPr>
            </w:r>
            <w:r>
              <w:rPr>
                <w:b w:val="0"/>
                <w:i w:val="0"/>
                <w:sz w:val="18"/>
              </w:rPr>
              <w:t xml:space="preserve">Effects on the </w:t>
            </w:r>
            <w:r>
              <w:rPr>
                <w:b/>
                <w:i w:val="0"/>
                <w:sz w:val="18"/>
              </w:rPr>
              <w:t>commensal microflora</w:t>
            </w:r>
            <w:r>
              <w:rPr>
                <w:b w:val="0"/>
                <w:i w:val="0"/>
                <w:sz w:val="18"/>
              </w:rPr>
              <w:t xml:space="preserve"> of humans or animals; </w:t>
            </w:r>
            <w:r>
              <w:rPr>
                <w:b/>
                <w:i/>
                <w:sz w:val="18"/>
              </w:rPr>
              <w:t>Clostridioides difficile</w:t>
            </w:r>
            <w:r>
              <w:rPr>
                <w:b/>
                <w:i w:val="0"/>
                <w:sz w:val="18"/>
              </w:rPr>
              <w:t xml:space="preserve"> infection</w:t>
            </w:r>
            <w:r>
              <w:rPr>
                <w:b w:val="0"/>
                <w:i w:val="0"/>
                <w:sz w:val="18"/>
              </w:rPr>
              <w:t xml:space="preserve">; a greater chance of infection with </w:t>
            </w:r>
            <w:r>
              <w:rPr>
                <w:b/>
                <w:i w:val="0"/>
                <w:sz w:val="18"/>
              </w:rPr>
              <w:t>drug-resistant pathogens</w:t>
            </w:r>
            <w:r>
              <w:rPr>
                <w:b w:val="0"/>
                <w:i w:val="0"/>
                <w:sz w:val="18"/>
              </w:rPr>
              <w:t xml:space="preserve">; effects on </w:t>
            </w:r>
            <w:r>
              <w:rPr>
                <w:b/>
                <w:i w:val="0"/>
                <w:sz w:val="18"/>
              </w:rPr>
              <w:t>environmental microflora</w:t>
            </w:r>
            <w:r>
              <w:rPr>
                <w:b w:val="0"/>
                <w:i w:val="0"/>
                <w:sz w:val="18"/>
              </w:rPr>
              <w:t>, such as antibiotics in the food or water supply.</w:t>
            </w:r>
          </w:p>
        </w:tc>
      </w:tr>
    </w:tbl>
    <w:p>
      <w:pPr>
        <w:spacing w:after="80"/>
      </w:pPr>
    </w:p>
    <w:p>
      <w:pPr>
        <w:spacing w:after="120"/>
      </w:pPr>
      <w:r>
        <w:rPr>
          <w:b w:val="0"/>
          <w:i w:val="0"/>
        </w:rPr>
        <w:t xml:space="preserve">The indirect column is the bridge to objectives 2–4: </w:t>
      </w:r>
      <w:r>
        <w:rPr>
          <w:b w:val="0"/>
          <w:i/>
        </w:rPr>
        <w:t>Clostridioides difficile</w:t>
      </w:r>
      <w:r>
        <w:rPr>
          <w:b w:val="0"/>
          <w:i w:val="0"/>
        </w:rPr>
        <w:t xml:space="preserve"> infection is what happens when an antibiotic clears the commensal flora, and fecal microbiota transplant is the therapy that puts that flora back.</w:t>
      </w:r>
    </w:p>
    <w:p>
      <w:pPr>
        <w:pStyle w:val="Heading2"/>
        <w:spacing w:before="200" w:after="100"/>
      </w:pPr>
      <w:r>
        <w:rPr>
          <w:rFonts w:ascii="Georgia" w:hAnsi="Georgia"/>
          <w:color w:val="1F4D2B"/>
        </w:rPr>
        <w:t>11.4 · Objective 2 — Fecal microbiota transplant</w:t>
      </w:r>
    </w:p>
    <w:p>
      <w:pPr>
        <w:spacing w:after="120"/>
      </w:pPr>
      <w:r>
        <w:rPr>
          <w:b/>
          <w:i w:val="0"/>
        </w:rPr>
        <w:t>Fecal microbiota transplant</w:t>
      </w:r>
      <w:r>
        <w:rPr>
          <w:b w:val="0"/>
          <w:i w:val="0"/>
        </w:rPr>
        <w:t xml:space="preserve"> gives a patient screened donor stool to realign their gastrointestinal microflora, “the power of poop”.</w:t>
      </w:r>
    </w:p>
    <w:p>
      <w:pPr>
        <w:pStyle w:val="ListBullet"/>
        <w:spacing w:after="40"/>
      </w:pPr>
      <w:r>
        <w:rPr>
          <w:b/>
          <w:i w:val="0"/>
          <w:sz w:val="20"/>
        </w:rPr>
        <w:t>It is old.</w:t>
      </w:r>
      <w:r>
        <w:rPr>
          <w:b w:val="0"/>
          <w:i w:val="0"/>
          <w:sz w:val="20"/>
        </w:rPr>
        <w:t xml:space="preserve"> It has been used for centuries in human and animal medicine; old Chinese texts give recipes for “yellow soup” (Ge Hong in the 4th century and Li Shizhen in the 16th are the sources usually cited).</w:t>
      </w:r>
    </w:p>
    <w:p>
      <w:pPr>
        <w:pStyle w:val="ListBullet"/>
        <w:spacing w:after="40"/>
      </w:pPr>
      <w:r>
        <w:rPr>
          <w:b/>
          <w:i w:val="0"/>
          <w:sz w:val="20"/>
        </w:rPr>
        <w:t xml:space="preserve">Its researched use is </w:t>
      </w:r>
      <w:r>
        <w:rPr>
          <w:b/>
          <w:i/>
          <w:sz w:val="20"/>
        </w:rPr>
        <w:t>Clostridioides difficile</w:t>
      </w:r>
      <w:r>
        <w:rPr>
          <w:b/>
          <w:i w:val="0"/>
          <w:sz w:val="20"/>
        </w:rPr>
        <w:t xml:space="preserve"> infection</w:t>
      </w:r>
      <w:r>
        <w:rPr>
          <w:b w:val="0"/>
          <w:i w:val="0"/>
          <w:sz w:val="20"/>
        </w:rPr>
        <w:t xml:space="preserve">, about 500,000 cases a year and about 30,000 deaths in the United States alone. Preventing </w:t>
      </w:r>
      <w:r>
        <w:rPr>
          <w:b/>
          <w:i w:val="0"/>
          <w:sz w:val="20"/>
        </w:rPr>
        <w:t>recurrent</w:t>
      </w:r>
      <w:r>
        <w:rPr>
          <w:b w:val="0"/>
          <w:i/>
          <w:sz w:val="20"/>
        </w:rPr>
        <w:t>Clostridioides difficile</w:t>
      </w:r>
      <w:r>
        <w:rPr>
          <w:b w:val="0"/>
          <w:i w:val="0"/>
          <w:sz w:val="20"/>
        </w:rPr>
        <w:t xml:space="preserve"> infection is its established use (see 11.7 on the slide’s other conditions).</w:t>
      </w:r>
    </w:p>
    <w:p>
      <w:pPr>
        <w:pStyle w:val="ListBullet"/>
        <w:spacing w:after="40"/>
      </w:pPr>
      <w:r>
        <w:rPr>
          <w:b/>
          <w:i w:val="0"/>
          <w:sz w:val="20"/>
        </w:rPr>
        <w:t>How it is given:</w:t>
      </w:r>
      <w:r>
        <w:rPr>
          <w:b w:val="0"/>
          <w:i w:val="0"/>
          <w:sz w:val="20"/>
        </w:rPr>
        <w:t xml:space="preserve"> by nasogastric tube, colonoscopy or enema, using screened donor stool.</w:t>
      </w:r>
    </w:p>
    <w:p>
      <w:pPr>
        <w:pStyle w:val="ListBullet"/>
        <w:spacing w:after="40"/>
      </w:pPr>
      <w:r>
        <w:rPr>
          <w:b/>
          <w:i w:val="0"/>
          <w:sz w:val="20"/>
        </w:rPr>
        <w:t>Stool banks</w:t>
      </w:r>
      <w:r>
        <w:rPr>
          <w:b w:val="0"/>
          <w:i w:val="0"/>
          <w:sz w:val="20"/>
        </w:rPr>
        <w:t xml:space="preserve"> make it more accessible. </w:t>
      </w:r>
      <w:r>
        <w:rPr>
          <w:b/>
          <w:i w:val="0"/>
          <w:sz w:val="20"/>
        </w:rPr>
        <w:t>Donor screening is similar to blood bank screening</w:t>
      </w:r>
      <w:r>
        <w:rPr>
          <w:b w:val="0"/>
          <w:i w:val="0"/>
          <w:sz w:val="20"/>
        </w:rPr>
        <w:t xml:space="preserve">, to reduce the risk from blood-borne and other pathogens: human immunodeficiency virus, hepatitis A, B and C, syphilis, </w:t>
      </w:r>
      <w:r>
        <w:rPr>
          <w:b w:val="0"/>
          <w:i/>
          <w:sz w:val="20"/>
        </w:rPr>
        <w:t>Clostridioides difficile</w:t>
      </w:r>
      <w:r>
        <w:rPr>
          <w:b w:val="0"/>
          <w:i w:val="0"/>
          <w:sz w:val="20"/>
        </w:rPr>
        <w:t xml:space="preserve">, and the parasites </w:t>
      </w:r>
      <w:r>
        <w:rPr>
          <w:b w:val="0"/>
          <w:i/>
          <w:sz w:val="20"/>
        </w:rPr>
        <w:t>Giardia</w:t>
      </w:r>
      <w:r>
        <w:rPr>
          <w:b w:val="0"/>
          <w:i w:val="0"/>
          <w:sz w:val="20"/>
        </w:rPr>
        <w:t xml:space="preserve"> and </w:t>
      </w:r>
      <w:r>
        <w:rPr>
          <w:b w:val="0"/>
          <w:i/>
          <w:sz w:val="20"/>
        </w:rPr>
        <w:t>Cryptosporidium</w:t>
      </w:r>
      <w:r>
        <w:rPr>
          <w:b w:val="0"/>
          <w:i w:val="0"/>
          <w:sz w:val="20"/>
        </w:rPr>
        <w:t>.</w:t>
      </w:r>
    </w:p>
    <w:p>
      <w:pPr>
        <w:pStyle w:val="ListBullet"/>
        <w:spacing w:after="40"/>
      </w:pPr>
      <w:r>
        <w:rPr>
          <w:b w:val="0"/>
          <w:i w:val="0"/>
          <w:sz w:val="20"/>
        </w:rPr>
        <w:t xml:space="preserve">Veterinarians call it </w:t>
      </w:r>
      <w:r>
        <w:rPr>
          <w:b/>
          <w:i w:val="0"/>
          <w:sz w:val="20"/>
        </w:rPr>
        <w:t>“transfaunation”</w:t>
      </w:r>
      <w:r>
        <w:rPr>
          <w:b w:val="0"/>
          <w:i w:val="0"/>
          <w:sz w:val="20"/>
        </w:rPr>
        <w:t>, and it works for animals too.</w:t>
      </w:r>
    </w:p>
    <w:p>
      <w:pPr>
        <w:pStyle w:val="Heading2"/>
        <w:spacing w:before="200" w:after="100"/>
      </w:pPr>
      <w:r>
        <w:rPr>
          <w:rFonts w:ascii="Georgia" w:hAnsi="Georgia"/>
          <w:color w:val="1F4D2B"/>
        </w:rPr>
        <w:t>11.5 · Objective 3 — Phage therapy</w:t>
      </w:r>
    </w:p>
    <w:p>
      <w:pPr>
        <w:spacing w:after="120"/>
      </w:pPr>
      <w:r>
        <w:rPr>
          <w:b/>
          <w:i w:val="0"/>
        </w:rPr>
        <w:t>Bacteriophages</w:t>
      </w:r>
      <w:r>
        <w:rPr>
          <w:b w:val="0"/>
          <w:i w:val="0"/>
        </w:rPr>
        <w:t xml:space="preserve"> (“phages”) are very small viruses that specifically attack </w:t>
      </w:r>
      <w:r>
        <w:rPr>
          <w:b/>
          <w:i w:val="0"/>
        </w:rPr>
        <w:t>bacteria and no other types of cells</w:t>
      </w:r>
      <w:r>
        <w:rPr>
          <w:b w:val="0"/>
          <w:i w:val="0"/>
        </w:rPr>
        <w:t xml:space="preserve">. Like all viruses they carry deoxyribonucleic acid or ribonucleic acid, never both, and they replicate by a </w:t>
      </w:r>
      <w:r>
        <w:rPr>
          <w:b/>
          <w:i w:val="0"/>
        </w:rPr>
        <w:t>lytic</w:t>
      </w:r>
      <w:r>
        <w:rPr>
          <w:b w:val="0"/>
          <w:i w:val="0"/>
        </w:rPr>
        <w:t xml:space="preserve"> or a </w:t>
      </w:r>
      <w:r>
        <w:rPr>
          <w:b/>
          <w:i w:val="0"/>
        </w:rPr>
        <w:t>lysogenic</w:t>
      </w:r>
      <w:r>
        <w:rPr>
          <w:b w:val="0"/>
          <w:i w:val="0"/>
        </w:rPr>
        <w:t xml:space="preserve"> life cycle. For therapy you need </w:t>
      </w:r>
      <w:r>
        <w:rPr>
          <w:b/>
          <w:i w:val="0"/>
        </w:rPr>
        <w:t>lytic phages with deoxyribonucleic acid</w:t>
      </w:r>
      <w:r>
        <w:rPr>
          <w:b w:val="0"/>
          <w:i w:val="0"/>
        </w:rPr>
        <w:t>: phages that destroy the bacterium rather than settling into its genome. “The enemy of my enemy is my friend”: the bacteria’s own enemies, put to work for the patient.</w:t>
      </w:r>
    </w:p>
    <w:p>
      <w:pPr>
        <w:jc w:val="center"/>
      </w:pPr>
      <w:r>
        <w:drawing>
          <wp:inline xmlns:a="http://schemas.openxmlformats.org/drawingml/2006/main" xmlns:pic="http://schemas.openxmlformats.org/drawingml/2006/picture">
            <wp:extent cx="3840480" cy="2406701"/>
            <wp:docPr id="40" name="Picture 40"/>
            <wp:cNvGraphicFramePr>
              <a:graphicFrameLocks noChangeAspect="1"/>
            </wp:cNvGraphicFramePr>
            <a:graphic>
              <a:graphicData uri="http://schemas.openxmlformats.org/drawingml/2006/picture">
                <pic:pic>
                  <pic:nvPicPr>
                    <pic:cNvPr id="0" name="Microbiology_Exam_2_micro-exam-2-study-guide-images_l11-s18-phage-structure.jpg"/>
                    <pic:cNvPicPr/>
                  </pic:nvPicPr>
                  <pic:blipFill>
                    <a:blip r:embed="rId48"/>
                    <a:stretch>
                      <a:fillRect/>
                    </a:stretch>
                  </pic:blipFill>
                  <pic:spPr>
                    <a:xfrm>
                      <a:off x="0" y="0"/>
                      <a:ext cx="3840480" cy="2406701"/>
                    </a:xfrm>
                    <a:prstGeom prst="rect"/>
                  </pic:spPr>
                </pic:pic>
              </a:graphicData>
            </a:graphic>
          </wp:inline>
        </w:drawing>
      </w:r>
    </w:p>
    <w:p>
      <w:pPr>
        <w:spacing w:after="160"/>
        <w:jc w:val="center"/>
      </w:pPr>
      <w:r>
        <w:rPr>
          <w:sz w:val="15"/>
        </w:rPr>
        <w:t>A tailed bacteriophage. The head holds the deoxyribonucleic acid; the tail tube , inside its sheath , delivers it through the bacterial wall; the baseplate and long tail fibers attach the phage to its host. Source: PAJ5200.Novel Antimicrobial Therapies-2.pptx, Slide 18.</w:t>
      </w:r>
    </w:p>
    <w:p>
      <w:pPr>
        <w:spacing w:after="120"/>
      </w:pPr>
      <w:r>
        <w:rPr>
          <w:b/>
          <w:i w:val="0"/>
        </w:rPr>
        <w:t>Why it is an option now.</w:t>
      </w:r>
      <w:r>
        <w:rPr>
          <w:b w:val="0"/>
          <w:i w:val="0"/>
        </w:rPr>
        <w:t xml:space="preserve"> Phages exhibit </w:t>
      </w:r>
      <w:r>
        <w:rPr>
          <w:b/>
          <w:i w:val="0"/>
        </w:rPr>
        <w:t>high host specificity</w:t>
      </w:r>
      <w:r>
        <w:rPr>
          <w:b w:val="0"/>
          <w:i w:val="0"/>
        </w:rPr>
        <w:t xml:space="preserve">, so they could attack highly antibiotic-resistant clinical strains. The idea is not new: it was explored in eastern Europe in the 1920s and 1930s and </w:t>
      </w:r>
      <w:r>
        <w:rPr>
          <w:b/>
          <w:i w:val="0"/>
        </w:rPr>
        <w:t>abandoned in the West with the emergence of antibiotic therapy</w:t>
      </w:r>
      <w:r>
        <w:rPr>
          <w:b w:val="0"/>
          <w:i w:val="0"/>
        </w:rPr>
        <w:t xml:space="preserve"> (penicillin became clinically available in the 1940s). One obstacle today is translating the original publications, which are in non-English journals.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Potential benefits (slide 22)</w:t>
            </w:r>
          </w:p>
        </w:tc>
        <w:tc>
          <w:tcPr>
            <w:tcW w:type="dxa" w:w="5112"/>
            <w:shd w:val="clear" w:color="auto" w:fill="1F4D2B"/>
          </w:tcPr>
          <w:p>
            <w:pPr>
              <w:spacing w:after="40"/>
            </w:pPr>
            <w:r>
              <w:rPr>
                <w:b/>
                <w:color w:val="FFFFFF"/>
                <w:sz w:val="18"/>
              </w:rPr>
            </w:r>
            <w:r>
              <w:rPr>
                <w:b/>
                <w:i w:val="0"/>
                <w:color w:val="FFFFFF"/>
                <w:sz w:val="18"/>
              </w:rPr>
              <w:t>The bad news (slide 21)</w:t>
            </w:r>
          </w:p>
        </w:tc>
      </w:tr>
      <w:tr>
        <w:tc>
          <w:tcPr>
            <w:tcW w:type="dxa" w:w="5112"/>
          </w:tcPr>
          <w:p>
            <w:pPr>
              <w:spacing w:after="40"/>
            </w:pPr>
            <w:r>
              <w:rPr>
                <w:sz w:val="18"/>
              </w:rPr>
            </w:r>
            <w:r>
              <w:rPr>
                <w:b w:val="0"/>
                <w:i w:val="0"/>
                <w:sz w:val="18"/>
              </w:rPr>
              <w:t xml:space="preserve">Could be used against </w:t>
            </w:r>
            <w:r>
              <w:rPr>
                <w:b/>
                <w:i w:val="0"/>
                <w:sz w:val="18"/>
              </w:rPr>
              <w:t>multidrug-resistant</w:t>
            </w:r>
            <w:r>
              <w:rPr>
                <w:b w:val="0"/>
                <w:i w:val="0"/>
                <w:sz w:val="18"/>
              </w:rPr>
              <w:t xml:space="preserve"> pathogens (extensively and totally drug-resistant strains are a concern too).</w:t>
            </w:r>
            <w:r>
              <w:rPr>
                <w:b/>
                <w:i w:val="0"/>
                <w:sz w:val="18"/>
              </w:rPr>
              <w:t>Narrow spectrum</w:t>
            </w:r>
            <w:r>
              <w:rPr>
                <w:b w:val="0"/>
                <w:i w:val="0"/>
                <w:sz w:val="18"/>
              </w:rPr>
              <w:t>, which would preserve the patient’s existing microbiome.</w:t>
            </w:r>
            <w:r>
              <w:rPr>
                <w:b w:val="0"/>
                <w:i w:val="0"/>
                <w:sz w:val="18"/>
              </w:rPr>
              <w:t xml:space="preserve">Potentially </w:t>
            </w:r>
            <w:r>
              <w:rPr>
                <w:b/>
                <w:i w:val="0"/>
                <w:sz w:val="18"/>
              </w:rPr>
              <w:t>low risk of side effects</w:t>
            </w:r>
            <w:r>
              <w:rPr>
                <w:b w:val="0"/>
                <w:i w:val="0"/>
                <w:sz w:val="18"/>
              </w:rPr>
              <w:t>.</w:t>
            </w:r>
            <w:r>
              <w:rPr>
                <w:b/>
                <w:i w:val="0"/>
                <w:sz w:val="18"/>
              </w:rPr>
              <w:t>Wide distribution</w:t>
            </w:r>
            <w:r>
              <w:rPr>
                <w:b w:val="0"/>
                <w:i w:val="0"/>
                <w:sz w:val="18"/>
              </w:rPr>
              <w:t xml:space="preserve"> in the body after systemic administration.</w:t>
            </w:r>
            <w:r>
              <w:rPr>
                <w:b w:val="0"/>
                <w:i w:val="0"/>
                <w:sz w:val="18"/>
              </w:rPr>
              <w:t xml:space="preserve">Potential to </w:t>
            </w:r>
            <w:r>
              <w:rPr>
                <w:b/>
                <w:i w:val="0"/>
                <w:sz w:val="18"/>
              </w:rPr>
              <w:t>reduce the inflammatory response</w:t>
            </w:r>
            <w:r>
              <w:rPr>
                <w:b w:val="0"/>
                <w:i w:val="0"/>
                <w:sz w:val="18"/>
              </w:rPr>
              <w:t>.</w:t>
            </w:r>
            <w:r>
              <w:rPr>
                <w:b w:val="0"/>
                <w:i w:val="0"/>
                <w:sz w:val="18"/>
              </w:rPr>
              <w:t xml:space="preserve">Could eventually be </w:t>
            </w:r>
            <w:r>
              <w:rPr>
                <w:b/>
                <w:i w:val="0"/>
                <w:sz w:val="18"/>
              </w:rPr>
              <w:t>more cost effective</w:t>
            </w:r>
            <w:r>
              <w:rPr>
                <w:b w:val="0"/>
                <w:i w:val="0"/>
                <w:sz w:val="18"/>
              </w:rPr>
              <w:t xml:space="preserve"> than antibiotics.</w:t>
            </w:r>
            <w:r>
              <w:rPr>
                <w:b w:val="0"/>
                <w:i w:val="0"/>
                <w:sz w:val="18"/>
              </w:rPr>
              <w:t xml:space="preserve">Greater efficacy: phages target specific bacterial cells and then </w:t>
            </w:r>
            <w:r>
              <w:rPr>
                <w:b/>
                <w:i w:val="0"/>
                <w:sz w:val="18"/>
              </w:rPr>
              <w:t>die off when their host is no longer present</w:t>
            </w:r>
            <w:r>
              <w:rPr>
                <w:b w:val="0"/>
                <w:i w:val="0"/>
                <w:sz w:val="18"/>
              </w:rPr>
              <w:t>.</w:t>
            </w:r>
          </w:p>
        </w:tc>
        <w:tc>
          <w:tcPr>
            <w:tcW w:type="dxa" w:w="5112"/>
          </w:tcPr>
          <w:p>
            <w:pPr>
              <w:spacing w:after="40"/>
            </w:pPr>
            <w:r>
              <w:rPr>
                <w:sz w:val="18"/>
              </w:rPr>
            </w:r>
            <w:r>
              <w:rPr>
                <w:b/>
                <w:i w:val="0"/>
                <w:sz w:val="18"/>
              </w:rPr>
              <w:t>Not a magic bullet</w:t>
            </w:r>
            <w:r>
              <w:rPr>
                <w:b w:val="0"/>
                <w:i w:val="0"/>
                <w:sz w:val="18"/>
              </w:rPr>
              <w:t>: the optimal dose, route, frequency and duration still need to be precisely defined.</w:t>
            </w:r>
            <w:r>
              <w:rPr>
                <w:b w:val="0"/>
                <w:i w:val="0"/>
                <w:sz w:val="18"/>
              </w:rPr>
              <w:t xml:space="preserve">Clinicians </w:t>
            </w:r>
            <w:r>
              <w:rPr>
                <w:b/>
                <w:i w:val="0"/>
                <w:sz w:val="18"/>
              </w:rPr>
              <w:t>must know the causative agent</w:t>
            </w:r>
            <w:r>
              <w:rPr>
                <w:b w:val="0"/>
                <w:i w:val="0"/>
                <w:sz w:val="18"/>
              </w:rPr>
              <w:t>, because host specificity is so high; identifying it can be time-consuming and cost-prohibitive in resource-limited settings.</w:t>
            </w:r>
            <w:r>
              <w:rPr>
                <w:b/>
                <w:i w:val="0"/>
                <w:sz w:val="18"/>
              </w:rPr>
              <w:t>Gene transfer</w:t>
            </w:r>
            <w:r>
              <w:rPr>
                <w:b w:val="0"/>
                <w:i w:val="0"/>
                <w:sz w:val="18"/>
              </w:rPr>
              <w:t>: what if the phage transfers deoxyribonucleic acid to its host cell?</w:t>
            </w:r>
            <w:r>
              <w:rPr>
                <w:b w:val="0"/>
                <w:i w:val="0"/>
                <w:sz w:val="18"/>
              </w:rPr>
              <w:t>Not covered by public health insurance in some countries (a few European countries are encouraging research).</w:t>
            </w:r>
            <w:r>
              <w:rPr>
                <w:b/>
                <w:i w:val="0"/>
                <w:sz w:val="18"/>
              </w:rPr>
              <w:t>No phage product is yet approved as a medicine</w:t>
            </w:r>
            <w:r>
              <w:rPr>
                <w:b w:val="0"/>
                <w:i w:val="0"/>
                <w:sz w:val="18"/>
              </w:rPr>
              <w:t xml:space="preserve"> (the slide: bacterial viruses “are not currently recognized as medicinal products”; in the United States the Food and Drug Administration handles them as investigational biologics), so regulatory clearance and unknown safety issues are concerns; </w:t>
            </w:r>
            <w:r>
              <w:rPr>
                <w:b/>
                <w:i w:val="0"/>
                <w:sz w:val="18"/>
              </w:rPr>
              <w:t>investigational drug status</w:t>
            </w:r>
            <w:r>
              <w:rPr>
                <w:b w:val="0"/>
                <w:i w:val="0"/>
                <w:sz w:val="18"/>
              </w:rPr>
              <w:t xml:space="preserve"> and </w:t>
            </w:r>
            <w:r>
              <w:rPr>
                <w:b/>
                <w:i w:val="0"/>
                <w:sz w:val="18"/>
              </w:rPr>
              <w:t>emergency use authorization</w:t>
            </w:r>
            <w:r>
              <w:rPr>
                <w:b w:val="0"/>
                <w:i w:val="0"/>
                <w:sz w:val="18"/>
              </w:rPr>
              <w:t xml:space="preserve"> are the useful routes around it.</w:t>
            </w:r>
          </w:p>
        </w:tc>
      </w:tr>
    </w:tbl>
    <w:p>
      <w:pPr>
        <w:spacing w:after="80"/>
      </w:pPr>
    </w:p>
    <w:p>
      <w:pPr>
        <w:spacing w:after="120"/>
      </w:pPr>
      <w:r>
        <w:rPr>
          <w:b w:val="0"/>
          <w:i w:val="0"/>
        </w:rPr>
        <w:t xml:space="preserve">Outside the clinic, phage solutions have also been used to </w:t>
      </w:r>
      <w:r>
        <w:rPr>
          <w:b/>
          <w:i w:val="0"/>
        </w:rPr>
        <w:t>reduce bacterial contamination of food</w:t>
      </w:r>
      <w:r>
        <w:rPr>
          <w:b w:val="0"/>
          <w:i w:val="0"/>
        </w:rPr>
        <w:t>.</w:t>
      </w:r>
    </w:p>
    <w:p>
      <w:pPr>
        <w:pStyle w:val="Heading2"/>
        <w:spacing w:before="200" w:after="100"/>
      </w:pPr>
      <w:r>
        <w:rPr>
          <w:rFonts w:ascii="Georgia" w:hAnsi="Georgia"/>
          <w:color w:val="1F4D2B"/>
        </w:rPr>
        <w:t>11.6 · Objective 4 — Other alternatives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Option</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Systemic corticosteroids</w:t>
            </w:r>
          </w:p>
        </w:tc>
        <w:tc>
          <w:tcPr>
            <w:tcW w:type="dxa" w:w="5112"/>
          </w:tcPr>
          <w:p>
            <w:pPr>
              <w:spacing w:after="40"/>
            </w:pPr>
            <w:r>
              <w:rPr>
                <w:sz w:val="18"/>
              </w:rPr>
            </w:r>
            <w:r>
              <w:rPr>
                <w:b w:val="0"/>
                <w:i w:val="0"/>
                <w:sz w:val="18"/>
              </w:rPr>
              <w:t xml:space="preserve">Decrease the </w:t>
            </w:r>
            <w:r>
              <w:rPr>
                <w:b/>
                <w:i w:val="0"/>
                <w:sz w:val="18"/>
              </w:rPr>
              <w:t>host’s inflammatory response</w:t>
            </w:r>
            <w:r>
              <w:rPr>
                <w:b w:val="0"/>
                <w:i w:val="0"/>
                <w:sz w:val="18"/>
              </w:rPr>
              <w:t>; they do not kill the pathogen.</w:t>
            </w:r>
          </w:p>
        </w:tc>
      </w:tr>
      <w:tr>
        <w:tc>
          <w:tcPr>
            <w:tcW w:type="dxa" w:w="5112"/>
          </w:tcPr>
          <w:p>
            <w:pPr>
              <w:spacing w:after="40"/>
            </w:pPr>
            <w:r>
              <w:rPr>
                <w:sz w:val="18"/>
              </w:rPr>
            </w:r>
            <w:r>
              <w:rPr>
                <w:b/>
                <w:i w:val="0"/>
                <w:sz w:val="18"/>
              </w:rPr>
              <w:t>Intravenous immunoglobulin G</w:t>
            </w:r>
            <w:r>
              <w:rPr>
                <w:b w:val="0"/>
                <w:i w:val="0"/>
                <w:sz w:val="18"/>
              </w:rPr>
              <w:t xml:space="preserve"> and </w:t>
            </w:r>
            <w:r>
              <w:rPr>
                <w:b/>
                <w:i w:val="0"/>
                <w:sz w:val="18"/>
              </w:rPr>
              <w:t>convalescent plasma</w:t>
            </w:r>
          </w:p>
        </w:tc>
        <w:tc>
          <w:tcPr>
            <w:tcW w:type="dxa" w:w="5112"/>
          </w:tcPr>
          <w:p>
            <w:pPr>
              <w:spacing w:after="40"/>
            </w:pPr>
            <w:r>
              <w:rPr>
                <w:sz w:val="18"/>
              </w:rPr>
            </w:r>
            <w:r>
              <w:rPr>
                <w:b w:val="0"/>
                <w:i w:val="0"/>
                <w:sz w:val="18"/>
              </w:rPr>
              <w:t>Give ready-made antibodies from donors; convalescent plasma comes from people who have recovered from the infection.</w:t>
            </w:r>
          </w:p>
        </w:tc>
      </w:tr>
      <w:tr>
        <w:tc>
          <w:tcPr>
            <w:tcW w:type="dxa" w:w="5112"/>
          </w:tcPr>
          <w:p>
            <w:pPr>
              <w:spacing w:after="40"/>
            </w:pPr>
            <w:r>
              <w:rPr>
                <w:sz w:val="18"/>
              </w:rPr>
            </w:r>
            <w:r>
              <w:rPr>
                <w:b/>
                <w:i w:val="0"/>
                <w:sz w:val="18"/>
              </w:rPr>
              <w:t>Prebiotics</w:t>
            </w:r>
          </w:p>
        </w:tc>
        <w:tc>
          <w:tcPr>
            <w:tcW w:type="dxa" w:w="5112"/>
          </w:tcPr>
          <w:p>
            <w:pPr>
              <w:spacing w:after="40"/>
            </w:pPr>
            <w:r>
              <w:rPr>
                <w:sz w:val="18"/>
              </w:rPr>
            </w:r>
            <w:r>
              <w:rPr>
                <w:b w:val="0"/>
                <w:i w:val="0"/>
                <w:sz w:val="18"/>
              </w:rPr>
              <w:t xml:space="preserve">Fiber-rich foods that provide </w:t>
            </w:r>
            <w:r>
              <w:rPr>
                <w:b/>
                <w:i w:val="0"/>
                <w:sz w:val="18"/>
              </w:rPr>
              <w:t>nutrients to the gut microflora</w:t>
            </w:r>
            <w:r>
              <w:rPr>
                <w:b w:val="0"/>
                <w:i w:val="0"/>
                <w:sz w:val="18"/>
              </w:rPr>
              <w:t>.</w:t>
            </w:r>
          </w:p>
        </w:tc>
      </w:tr>
      <w:tr>
        <w:tc>
          <w:tcPr>
            <w:tcW w:type="dxa" w:w="5112"/>
          </w:tcPr>
          <w:p>
            <w:pPr>
              <w:spacing w:after="40"/>
            </w:pPr>
            <w:r>
              <w:rPr>
                <w:sz w:val="18"/>
              </w:rPr>
            </w:r>
            <w:r>
              <w:rPr>
                <w:b/>
                <w:i w:val="0"/>
                <w:sz w:val="18"/>
              </w:rPr>
              <w:t>Probiotics</w:t>
            </w:r>
          </w:p>
        </w:tc>
        <w:tc>
          <w:tcPr>
            <w:tcW w:type="dxa" w:w="5112"/>
          </w:tcPr>
          <w:p>
            <w:pPr>
              <w:spacing w:after="40"/>
            </w:pPr>
            <w:r>
              <w:rPr>
                <w:sz w:val="18"/>
              </w:rPr>
            </w:r>
            <w:r>
              <w:rPr>
                <w:b w:val="0"/>
                <w:i w:val="0"/>
                <w:sz w:val="18"/>
              </w:rPr>
              <w:t xml:space="preserve">The beneficial organisms themselves: </w:t>
            </w:r>
            <w:r>
              <w:rPr>
                <w:b w:val="0"/>
                <w:i/>
                <w:sz w:val="18"/>
              </w:rPr>
              <w:t>Lactobacillus</w:t>
            </w:r>
            <w:r>
              <w:rPr>
                <w:b w:val="0"/>
                <w:i w:val="0"/>
                <w:sz w:val="18"/>
              </w:rPr>
              <w:t xml:space="preserve"> (a bacterium) and </w:t>
            </w:r>
            <w:r>
              <w:rPr>
                <w:b w:val="0"/>
                <w:i/>
                <w:sz w:val="18"/>
              </w:rPr>
              <w:t>Saccharomyces</w:t>
            </w:r>
            <w:r>
              <w:rPr>
                <w:b w:val="0"/>
                <w:i w:val="0"/>
                <w:sz w:val="18"/>
              </w:rPr>
              <w:t xml:space="preserve"> (a fungus, a yeast), often found in </w:t>
            </w:r>
            <w:r>
              <w:rPr>
                <w:b/>
                <w:i w:val="0"/>
                <w:sz w:val="18"/>
              </w:rPr>
              <w:t>fermented foods</w:t>
            </w:r>
            <w:r>
              <w:rPr>
                <w:b w:val="0"/>
                <w:i w:val="0"/>
                <w:sz w:val="18"/>
              </w:rPr>
              <w:t>.</w:t>
            </w:r>
          </w:p>
        </w:tc>
      </w:tr>
      <w:tr>
        <w:tc>
          <w:tcPr>
            <w:tcW w:type="dxa" w:w="5112"/>
          </w:tcPr>
          <w:p>
            <w:pPr>
              <w:spacing w:after="40"/>
            </w:pPr>
            <w:r>
              <w:rPr>
                <w:sz w:val="18"/>
              </w:rPr>
            </w:r>
            <w:r>
              <w:rPr>
                <w:b/>
                <w:i w:val="0"/>
                <w:sz w:val="18"/>
              </w:rPr>
              <w:t>A varied plant diet</w:t>
            </w:r>
          </w:p>
        </w:tc>
        <w:tc>
          <w:tcPr>
            <w:tcW w:type="dxa" w:w="5112"/>
          </w:tcPr>
          <w:p>
            <w:pPr>
              <w:spacing w:after="40"/>
            </w:pPr>
            <w:r>
              <w:rPr>
                <w:sz w:val="18"/>
              </w:rPr>
            </w:r>
            <w:r>
              <w:rPr>
                <w:b w:val="0"/>
                <w:i w:val="0"/>
                <w:sz w:val="18"/>
              </w:rPr>
              <w:t xml:space="preserve">From the crowd-sourced American Gut project: </w:t>
            </w:r>
            <w:r>
              <w:rPr>
                <w:b/>
                <w:i w:val="0"/>
                <w:sz w:val="18"/>
              </w:rPr>
              <w:t>the more diverse your plant intake, the more diverse your gut microbiota</w:t>
            </w:r>
            <w:r>
              <w:rPr>
                <w:b w:val="0"/>
                <w:i w:val="0"/>
                <w:sz w:val="18"/>
              </w:rPr>
              <w:t xml:space="preserve"> (slide 28).</w:t>
            </w:r>
          </w:p>
        </w:tc>
      </w:tr>
      <w:tr>
        <w:tc>
          <w:tcPr>
            <w:tcW w:type="dxa" w:w="5112"/>
          </w:tcPr>
          <w:p>
            <w:pPr>
              <w:spacing w:after="40"/>
            </w:pPr>
            <w:r>
              <w:rPr>
                <w:sz w:val="18"/>
              </w:rPr>
            </w:r>
            <w:r>
              <w:rPr>
                <w:b/>
                <w:i w:val="0"/>
                <w:sz w:val="18"/>
              </w:rPr>
              <w:t>Plant essential oils</w:t>
            </w:r>
          </w:p>
        </w:tc>
        <w:tc>
          <w:tcPr>
            <w:tcW w:type="dxa" w:w="5112"/>
          </w:tcPr>
          <w:p>
            <w:pPr>
              <w:spacing w:after="40"/>
            </w:pPr>
            <w:r>
              <w:rPr>
                <w:sz w:val="18"/>
              </w:rPr>
            </w:r>
            <w:r>
              <w:rPr>
                <w:b w:val="0"/>
                <w:i w:val="0"/>
                <w:sz w:val="18"/>
              </w:rPr>
              <w:t xml:space="preserve">Show antibacterial activity </w:t>
            </w:r>
            <w:r>
              <w:rPr>
                <w:b/>
                <w:i w:val="0"/>
                <w:sz w:val="18"/>
              </w:rPr>
              <w:t>in vitro</w:t>
            </w:r>
            <w:r>
              <w:rPr>
                <w:b w:val="0"/>
                <w:i w:val="0"/>
                <w:sz w:val="18"/>
              </w:rPr>
              <w:t>; better experimental design is needed to test what that means for patients.</w:t>
            </w:r>
          </w:p>
        </w:tc>
      </w:tr>
    </w:tbl>
    <w:p>
      <w:pPr>
        <w:spacing w:after="80"/>
      </w:pPr>
    </w:p>
    <w:p>
      <w:pPr>
        <w:spacing w:after="120"/>
      </w:pPr>
      <w:r>
        <w:rPr>
          <w:b/>
          <w:i w:val="0"/>
        </w:rPr>
        <w:t>Why herbs and spices?</w:t>
      </w:r>
      <w:r>
        <w:rPr>
          <w:b w:val="0"/>
          <w:i w:val="0"/>
        </w:rPr>
        <w:t xml:space="preserve"> The hypotheses (slide 31): herbs and spices season food across cultures; some kill bacteria and fungi, especially those that spoil food; they may provide macro- and micronutrients; they enhance taste and smell; and spice use should be heaviest where a </w:t>
      </w:r>
      <w:r>
        <w:rPr>
          <w:b/>
          <w:i w:val="0"/>
        </w:rPr>
        <w:t>hot climate</w:t>
      </w:r>
      <w:r>
        <w:rPr>
          <w:b w:val="0"/>
          <w:i w:val="0"/>
        </w:rPr>
        <w:t xml:space="preserve"> goes with </w:t>
      </w:r>
      <w:r>
        <w:rPr>
          <w:b/>
          <w:i w:val="0"/>
        </w:rPr>
        <w:t>rapid food spoilage</w:t>
      </w:r>
      <w:r>
        <w:rPr>
          <w:b w:val="0"/>
          <w:i w:val="0"/>
        </w:rPr>
        <w:t>. The ones named (slide 32) include garlic, onion, allspice, oregano, thyme, cinnamon, tarragon, cumin, coriander, basil, ginger, cloves, lemongrass, bay leaf, capsicums, rosemary, marjoram, mustard, caraway, mint, parsley, cardamom and eucalyptus. “Let your food be your medicine, and your medicine be your food” (Hippocrates).</w:t>
      </w:r>
    </w:p>
    <w:p>
      <w:pPr>
        <w:pStyle w:val="Heading2"/>
        <w:spacing w:before="200" w:after="100"/>
      </w:pPr>
      <w:r>
        <w:rPr>
          <w:rFonts w:ascii="Georgia" w:hAnsi="Georgia"/>
          <w:color w:val="1F4D2B"/>
        </w:rPr>
        <w:t>11.7 · Where the slide, the recording and current practice differ</w:t>
      </w:r>
    </w:p>
    <w:p>
      <w:pPr>
        <w:spacing w:after="120"/>
      </w:pPr>
      <w:r>
        <w:rPr>
          <w:b w:val="0"/>
          <w:i w:val="0"/>
        </w:rPr>
        <w:t xml:space="preserve">The quizzes key what is medically true. Where a slide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“Transduction” (slide 17 notes).</w:t>
      </w:r>
      <w:r>
        <w:rPr>
          <w:b w:val="0"/>
          <w:i w:val="0"/>
          <w:sz w:val="20"/>
        </w:rPr>
        <w:t xml:space="preserve"> The notes call a phage injecting its own nucleic acid into a bacterium “transduction”. Injecting its genome is simply how a phage infects; </w:t>
      </w:r>
      <w:r>
        <w:rPr>
          <w:b w:val="0"/>
          <w:i/>
          <w:sz w:val="20"/>
        </w:rPr>
        <w:t>transduction</w:t>
      </w:r>
      <w:r>
        <w:rPr>
          <w:b w:val="0"/>
          <w:i w:val="0"/>
          <w:sz w:val="20"/>
        </w:rPr>
        <w:t xml:space="preserve"> is a phage carrying </w:t>
      </w:r>
      <w:r>
        <w:rPr>
          <w:b w:val="0"/>
          <w:i/>
          <w:sz w:val="20"/>
        </w:rPr>
        <w:t>bacterial</w:t>
      </w:r>
      <w:r>
        <w:rPr>
          <w:b w:val="0"/>
          <w:i w:val="0"/>
          <w:sz w:val="20"/>
        </w:rPr>
        <w:t xml:space="preserve"> genes from one bacterium to another. That second process is the real “what if the phage transfers deoxyribonucleic acid to its host cell?” worry of slide 21, since it can move genes such as toxin or resistance genes. </w:t>
      </w:r>
      <w:r>
        <w:rPr>
          <w:b w:val="0"/>
          <w:i/>
          <w:sz w:val="20"/>
        </w:rPr>
        <w:t>Keyed</w:t>
      </w:r>
      <w:r>
        <w:rPr>
          <w:b w:val="0"/>
          <w:i w:val="0"/>
          <w:sz w:val="20"/>
        </w:rPr>
        <w:t xml:space="preserve"> as gene transfer.</w:t>
      </w:r>
    </w:p>
    <w:p>
      <w:pPr>
        <w:pStyle w:val="ListBullet"/>
        <w:spacing w:after="40"/>
      </w:pPr>
      <w:r>
        <w:rPr>
          <w:b/>
          <w:i w:val="0"/>
          <w:sz w:val="20"/>
        </w:rPr>
        <w:t>What fecal microbiota transplant is proven for (slide 24).</w:t>
      </w:r>
      <w:r>
        <w:rPr>
          <w:b w:val="0"/>
          <w:i w:val="0"/>
          <w:sz w:val="20"/>
        </w:rPr>
        <w:t xml:space="preserve"> The slide says it has been “a successful option” for irritable bowel syndrome, ulcerative colitis and chronic constipation. Its established use, and the only one with approved products, is preventing </w:t>
      </w:r>
      <w:r>
        <w:rPr>
          <w:b/>
          <w:i w:val="0"/>
          <w:sz w:val="20"/>
        </w:rPr>
        <w:t xml:space="preserve">recurrent </w:t>
      </w:r>
      <w:r>
        <w:rPr>
          <w:b/>
          <w:i/>
          <w:sz w:val="20"/>
        </w:rPr>
        <w:t>Clostridioides difficile</w:t>
      </w:r>
      <w:r>
        <w:rPr>
          <w:b/>
          <w:i w:val="0"/>
          <w:sz w:val="20"/>
        </w:rPr>
        <w:t xml:space="preserve"> infection</w:t>
      </w:r>
      <w:r>
        <w:rPr>
          <w:b w:val="0"/>
          <w:i w:val="0"/>
          <w:sz w:val="20"/>
        </w:rPr>
        <w:t xml:space="preserve">; for the other conditions the evidence is limited and mixed. </w:t>
      </w:r>
      <w:r>
        <w:rPr>
          <w:b w:val="0"/>
          <w:i/>
          <w:sz w:val="20"/>
        </w:rPr>
        <w:t>Keyed</w:t>
      </w:r>
      <w:r>
        <w:rPr>
          <w:b w:val="0"/>
          <w:i w:val="0"/>
          <w:sz w:val="20"/>
        </w:rPr>
        <w:t xml:space="preserve"> as </w:t>
      </w:r>
      <w:r>
        <w:rPr>
          <w:b w:val="0"/>
          <w:i/>
          <w:sz w:val="20"/>
        </w:rPr>
        <w:t>Clostridioides difficile</w:t>
      </w:r>
      <w:r>
        <w:rPr>
          <w:b w:val="0"/>
          <w:i w:val="0"/>
          <w:sz w:val="20"/>
        </w:rPr>
        <w:t xml:space="preserve"> only.</w:t>
      </w:r>
    </w:p>
    <w:p>
      <w:pPr>
        <w:pStyle w:val="ListBullet"/>
        <w:spacing w:after="40"/>
      </w:pPr>
      <w:r>
        <w:rPr>
          <w:b/>
          <w:i w:val="0"/>
          <w:sz w:val="20"/>
        </w:rPr>
        <w:t>“Serologic testing” of donor stool (slide 26).</w:t>
      </w:r>
      <w:r>
        <w:rPr>
          <w:b w:val="0"/>
          <w:i w:val="0"/>
          <w:sz w:val="20"/>
        </w:rPr>
        <w:t xml:space="preserve"> Serology is a blood test. Donors are screened with </w:t>
      </w:r>
      <w:r>
        <w:rPr>
          <w:b/>
          <w:i w:val="0"/>
          <w:sz w:val="20"/>
        </w:rPr>
        <w:t>blood tests</w:t>
      </w:r>
      <w:r>
        <w:rPr>
          <w:b w:val="0"/>
          <w:i w:val="0"/>
          <w:sz w:val="20"/>
        </w:rPr>
        <w:t xml:space="preserve"> (human immunodeficiency virus, hepatitis, syphilis) and </w:t>
      </w:r>
      <w:r>
        <w:rPr>
          <w:b/>
          <w:i w:val="0"/>
          <w:sz w:val="20"/>
        </w:rPr>
        <w:t>stool tests</w:t>
      </w:r>
      <w:r>
        <w:rPr>
          <w:b w:val="0"/>
          <w:i w:val="0"/>
          <w:sz w:val="20"/>
        </w:rPr>
        <w:t xml:space="preserve"> (</w:t>
      </w:r>
      <w:r>
        <w:rPr>
          <w:b w:val="0"/>
          <w:i/>
          <w:sz w:val="20"/>
        </w:rPr>
        <w:t>Clostridioides difficile</w:t>
      </w:r>
      <w:r>
        <w:rPr>
          <w:b w:val="0"/>
          <w:i w:val="0"/>
          <w:sz w:val="20"/>
        </w:rPr>
        <w:t xml:space="preserve">, </w:t>
      </w:r>
      <w:r>
        <w:rPr>
          <w:b w:val="0"/>
          <w:i/>
          <w:sz w:val="20"/>
        </w:rPr>
        <w:t>Giardia</w:t>
      </w:r>
      <w:r>
        <w:rPr>
          <w:b w:val="0"/>
          <w:i w:val="0"/>
          <w:sz w:val="20"/>
        </w:rPr>
        <w:t xml:space="preserve">, </w:t>
      </w:r>
      <w:r>
        <w:rPr>
          <w:b w:val="0"/>
          <w:i/>
          <w:sz w:val="20"/>
        </w:rPr>
        <w:t>Cryptosporidium</w:t>
      </w:r>
      <w:r>
        <w:rPr>
          <w:b w:val="0"/>
          <w:i w:val="0"/>
          <w:sz w:val="20"/>
        </w:rPr>
        <w:t xml:space="preserve">). </w:t>
      </w:r>
      <w:r>
        <w:rPr>
          <w:b w:val="0"/>
          <w:i/>
          <w:sz w:val="20"/>
        </w:rPr>
        <w:t>Keyed</w:t>
      </w:r>
      <w:r>
        <w:rPr>
          <w:b w:val="0"/>
          <w:i w:val="0"/>
          <w:sz w:val="20"/>
        </w:rPr>
        <w:t xml:space="preserve"> as “screened for”, without the test type.</w:t>
      </w:r>
    </w:p>
    <w:p>
      <w:pPr>
        <w:pStyle w:val="ListBullet"/>
        <w:spacing w:after="40"/>
      </w:pPr>
      <w:r>
        <w:rPr>
          <w:b/>
          <w:i w:val="0"/>
          <w:sz w:val="20"/>
        </w:rPr>
        <w:t>“No new major antibiotic in 30 years” (slide 6).</w:t>
      </w:r>
      <w:r>
        <w:rPr>
          <w:b w:val="0"/>
          <w:i w:val="0"/>
          <w:sz w:val="20"/>
        </w:rPr>
        <w:t xml:space="preserve"> Out of date: new agents, including new classes, have been approved since. The infographic’s percentages are not asked either.</w:t>
      </w:r>
    </w:p>
    <w:p>
      <w:pPr>
        <w:pStyle w:val="ListBullet"/>
        <w:spacing w:after="40"/>
      </w:pPr>
      <w:r>
        <w:rPr>
          <w:b/>
          <w:i w:val="0"/>
          <w:sz w:val="20"/>
        </w:rPr>
        <w:t>The resistance timeline (slide 8).</w:t>
      </w:r>
      <w:r>
        <w:rPr>
          <w:b w:val="0"/>
          <w:i w:val="0"/>
          <w:sz w:val="20"/>
        </w:rPr>
        <w:t xml:space="preserve"> Dates for discovery, widespread use and first resistance differ between sources (a bacterial enzyme that destroys penicillin was described in 1940, before the drug was in wide use). </w:t>
      </w:r>
      <w:r>
        <w:rPr>
          <w:b w:val="0"/>
          <w:i/>
          <w:sz w:val="20"/>
        </w:rPr>
        <w:t>Keyed</w:t>
      </w:r>
      <w:r>
        <w:rPr>
          <w:b w:val="0"/>
          <w:i w:val="0"/>
          <w:sz w:val="20"/>
        </w:rPr>
        <w:t xml:space="preserve"> only as the pattern: resistance followed widespread use within years.</w:t>
      </w:r>
    </w:p>
    <w:p>
      <w:pPr>
        <w:spacing w:after="120"/>
      </w:pPr>
      <w:r>
        <w:rPr>
          <w:b w:val="0"/>
          <w:i w:val="0"/>
        </w:rPr>
        <w:t xml:space="preserve">Source: </w:t>
      </w:r>
      <w:r>
        <w:rPr>
          <w:b w:val="0"/>
          <w:i/>
        </w:rPr>
        <w:t>Novel Antimicrobial Therapies</w:t>
      </w:r>
      <w:r>
        <w:rPr>
          <w:b w:val="0"/>
          <w:i w:val="0"/>
        </w:rPr>
        <w:t xml:space="preserve"> (PAJ5200.Novel Antimicrobial Therapies-2.pptx), Slides 1–34, the 9 October 2026 recording,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