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deal with the fuel tankers [69, 116, 118]. (He taught adding a fuel-tanker drug above 200; under the 2018 guideline the tanker drug, a fibrate, waits for 500 or more — see 3.8.)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w:t>
      </w:r>
      <w:r>
        <w:rPr>
          <w:b w:val="0"/>
          <w:i w:val="0"/>
        </w:rPr>
        <w:t xml:space="preserve"> to lower the pancreatitis risk (slide 118 adds niacin; the 2018 guideline does not use niacin).</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and a fibrate).</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the slide says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he taught vs what the 2018 guideline says.</w:t>
                  </w:r>
                  <w:r>
                    <w:rPr>
                      <w:b w:val="0"/>
                      <w:i w:val="0"/>
                    </w:rPr>
                    <w:t xml:space="preserve"> Carter taught, and emphasized more than anything else in the lecture, that once the LDL goal is reached a triglyceride still above 200 gets a fibrate or niacin (slides 116, 118). That is the older Adult Treatment Panel III rule. The 2018 AHA/ACC cholesterol guideline — the one this course tests — handles a moderately raised triglyceride (about 175–499) with </w:t>
                  </w:r>
                  <w:r>
                    <w:rPr>
                      <w:b/>
                      <w:i w:val="0"/>
                    </w:rPr>
                    <w:t>lifestyle, a search for secondary causes</w:t>
                  </w:r>
                  <w:r>
                    <w:rPr>
                      <w:b w:val="0"/>
                      <w:i w:val="0"/>
                    </w:rPr>
                    <w:t xml:space="preserve"> (diabetes, alcohol, kidney disease, hypothyroidism, drugs) </w:t>
                  </w:r>
                  <w:r>
                    <w:rPr>
                      <w:b/>
                      <w:i w:val="0"/>
                    </w:rPr>
                    <w:t>and statin intensity</w:t>
                  </w:r>
                  <w:r>
                    <w:rPr>
                      <w:b w:val="0"/>
                      <w:i w:val="0"/>
                    </w:rPr>
                    <w:t xml:space="preserve">; it reserves a </w:t>
                  </w:r>
                  <w:r>
                    <w:rPr>
                      <w:b/>
                      <w:i w:val="0"/>
                    </w:rPr>
                    <w:t>fibrate</w:t>
                  </w:r>
                  <w:r>
                    <w:rPr>
                      <w:b w:val="0"/>
                      <w:i w:val="0"/>
                    </w:rPr>
                    <w:t xml:space="preserve"> (with a very low-fat diet) for </w:t>
                  </w:r>
                  <w:r>
                    <w:rPr>
                      <w:b/>
                      <w:i w:val="0"/>
                    </w:rPr>
                    <w:t>500 mg/dL or more</w:t>
                  </w:r>
                  <w:r>
                    <w:rPr>
                      <w:b w:val="0"/>
                      <w:i w:val="0"/>
                    </w:rPr>
                    <w:t>, to prevent pancreatitis, and does not add niacin. The quizzes key the 2018 version; the order “LDL first” still stands. “Goal” is the slide’s wording from the older framework; the numeric goal tables on slides 28 and 117 are self-study.</w:t>
                  </w:r>
                </w:p>
              </w:tc>
            </w:tr>
          </w:tbl>
          <w:p/>
          <w:p>
            <w:pPr>
              <w:spacing w:after="80"/>
            </w:pP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w:t>
      </w:r>
      <w:r>
        <w:rPr>
          <w:b w:val="0"/>
          <w:i w:val="0"/>
          <w:sz w:val="20"/>
        </w:rPr>
        <w:t xml:space="preserve">, usually alongside rheumatic mitral disease; </w:t>
      </w:r>
      <w:r>
        <w:rPr>
          <w:b/>
          <w:i w:val="0"/>
          <w:sz w:val="20"/>
        </w:rPr>
        <w:t>carcinoid disease</w:t>
      </w:r>
      <w:r>
        <w:rPr>
          <w:b w:val="0"/>
          <w:i w:val="0"/>
          <w:sz w:val="20"/>
        </w:rPr>
        <w:t xml:space="preserve"> is the other notable cause. Slide 65 says that in the United States it is “almost always congenital”; that is not accurate, since congenital tricuspid stenosis is rare.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carcinoid disease. (Slide 65's “congenital in the United States” is not accurate.)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Slide 65 lists a </w:t>
            </w:r>
            <w:r>
              <w:rPr>
                <w:b/>
                <w:i w:val="0"/>
              </w:rPr>
              <w:t>new left bundle branch block</w:t>
            </w:r>
            <w:r>
              <w:rPr>
                <w:b w:val="0"/>
                <w:i w:val="0"/>
              </w:rPr>
              <w:t xml:space="preserve">, and he taught it as a STEMI equivalent (“you don't have anything to show they didn't have it before … then we consider that a STEMI”). Current guidelines no longer treat a new or presumed-new block </w:t>
            </w:r>
            <w:r>
              <w:rPr>
                <w:b w:val="0"/>
                <w:i/>
              </w:rPr>
              <w:t>alone</w:t>
            </w:r>
            <w:r>
              <w:rPr>
                <w:b w:val="0"/>
                <w:i w:val="0"/>
              </w:rPr>
              <w:t xml:space="preserve"> as a STEMI equivalent, because the block hides the ST segment: with </w:t>
            </w:r>
            <w:r>
              <w:rPr>
                <w:b/>
                <w:i w:val="0"/>
              </w:rPr>
              <w:t>ongoing ischemic pain, hypotension or heart failure</w:t>
            </w:r>
            <w:r>
              <w:rPr>
                <w:b w:val="0"/>
                <w:i w:val="0"/>
              </w:rPr>
              <w:t xml:space="preserve"> it is managed like a STEMI (catheterization team); otherwise it is judged on the rest of the picture. The quizzes key that version.</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across the board; calcium channel blockers do not improve prognosis</w:t>
            </w:r>
            <w:r>
              <w:rPr>
                <w:b w:val="0"/>
                <w:i w:val="0"/>
                <w:sz w:val="20"/>
              </w:rPr>
              <w:t>. The deck adds that diltiazem and verapamil reduce mortality with preserved left ventricular function; that is not accurate. They have no mortality benefit after infarction: they relieve angina or control rate when a beta blocker cannot be used, and they are avoided with reduced ejection fraction or heart failure.</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clopidogrel is necessary after a stent. Slide 83 says warfarin is recommended for large anterior wall infarcts; current guidance adds warfarin only when the anterior infarct leaves an </w:t>
            </w:r>
            <w:r>
              <w:rPr>
                <w:b/>
                <w:i w:val="0"/>
                <w:sz w:val="20"/>
              </w:rPr>
              <w:t>akinetic apex</w:t>
            </w:r>
            <w:r>
              <w:rPr>
                <w:b w:val="0"/>
                <w:i w:val="0"/>
                <w:sz w:val="20"/>
              </w:rPr>
              <w:t xml:space="preserve"> (may be considered) or a </w:t>
            </w:r>
            <w:r>
              <w:rPr>
                <w:b/>
                <w:i w:val="0"/>
                <w:sz w:val="20"/>
              </w:rPr>
              <w:t>left ventricular thrombus</w:t>
            </w:r>
            <w:r>
              <w:rPr>
                <w:b w:val="0"/>
                <w:i w:val="0"/>
                <w:sz w:val="20"/>
              </w:rPr>
              <w:t>, not routinely. The quizzes key that version.</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 with ongoing ischemia or instability</w:t>
      </w:r>
      <w:r>
        <w:rPr>
          <w:b w:val="0"/>
          <w:i w:val="0"/>
        </w:rPr>
        <w:t xml:space="preserve"> (the block alone is no longer enough)</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